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80392" w:rsidRPr="00680392" w:rsidTr="00680392">
        <w:tc>
          <w:tcPr>
            <w:tcW w:w="2122" w:type="dxa"/>
          </w:tcPr>
          <w:p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RKP</w:t>
            </w:r>
          </w:p>
        </w:tc>
        <w:tc>
          <w:tcPr>
            <w:tcW w:w="7512" w:type="dxa"/>
          </w:tcPr>
          <w:p w:rsidR="00170E21" w:rsidRPr="00680392" w:rsidRDefault="0012479A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51327</w:t>
            </w:r>
          </w:p>
          <w:p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:rsidTr="00680392">
        <w:tc>
          <w:tcPr>
            <w:tcW w:w="2122" w:type="dxa"/>
          </w:tcPr>
          <w:p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Naziv obveznika:</w:t>
            </w:r>
          </w:p>
        </w:tc>
        <w:tc>
          <w:tcPr>
            <w:tcW w:w="7512" w:type="dxa"/>
          </w:tcPr>
          <w:p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:rsidR="006A7AD0" w:rsidRPr="00680392" w:rsidRDefault="0012479A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LUČKA UPRAVA SPLIT</w:t>
            </w:r>
          </w:p>
        </w:tc>
      </w:tr>
      <w:tr w:rsidR="00680392" w:rsidRPr="00680392" w:rsidTr="00680392">
        <w:tc>
          <w:tcPr>
            <w:tcW w:w="2122" w:type="dxa"/>
          </w:tcPr>
          <w:p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Razina:</w:t>
            </w:r>
          </w:p>
        </w:tc>
        <w:tc>
          <w:tcPr>
            <w:tcW w:w="7512" w:type="dxa"/>
          </w:tcPr>
          <w:p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:rsidTr="00680392">
        <w:tc>
          <w:tcPr>
            <w:tcW w:w="2122" w:type="dxa"/>
          </w:tcPr>
          <w:p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Oznaka razdoblja:</w:t>
            </w:r>
          </w:p>
        </w:tc>
        <w:tc>
          <w:tcPr>
            <w:tcW w:w="7512" w:type="dxa"/>
          </w:tcPr>
          <w:p w:rsidR="00170E21" w:rsidRPr="002D0CC0" w:rsidRDefault="00C229B3" w:rsidP="002D0CC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siječnja 2024. – 30</w:t>
            </w:r>
            <w:r w:rsidR="002D0CC0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lipnja</w:t>
            </w:r>
            <w:r w:rsidR="00EF2B47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 xml:space="preserve"> 2024</w:t>
            </w:r>
            <w:r w:rsidR="002D0CC0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.</w:t>
            </w:r>
          </w:p>
          <w:p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F2541C" w:rsidRPr="00680392" w:rsidTr="00680392">
        <w:tc>
          <w:tcPr>
            <w:tcW w:w="2122" w:type="dxa"/>
          </w:tcPr>
          <w:p w:rsidR="00F2541C" w:rsidRPr="002D0CC0" w:rsidRDefault="002D0CC0" w:rsidP="002D0CC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2D0CC0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Osoba za kontakt i broj telefona</w:t>
            </w:r>
          </w:p>
        </w:tc>
        <w:tc>
          <w:tcPr>
            <w:tcW w:w="7512" w:type="dxa"/>
          </w:tcPr>
          <w:p w:rsidR="00F2541C" w:rsidRPr="00680392" w:rsidRDefault="0012479A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Dragana Antišić, 021390228</w:t>
            </w:r>
          </w:p>
        </w:tc>
      </w:tr>
    </w:tbl>
    <w:p w:rsidR="00CC75C5" w:rsidRDefault="00CC75C5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302A" w:rsidRPr="00614260" w:rsidRDefault="0069302A" w:rsidP="00036DEE">
      <w:pPr>
        <w:pStyle w:val="Naslov1"/>
      </w:pPr>
      <w:bookmarkStart w:id="0" w:name="_Toc135657521"/>
      <w:r w:rsidRPr="00614260">
        <w:t>B I LJ E Š K E  U Z  O B R A Z A C  P R – R A S</w:t>
      </w:r>
      <w:bookmarkEnd w:id="0"/>
    </w:p>
    <w:p w:rsidR="00CC75C5" w:rsidRDefault="00CC75C5" w:rsidP="006A7AD0">
      <w:pPr>
        <w:rPr>
          <w:rFonts w:ascii="Times New Roman" w:hAnsi="Times New Roman" w:cs="Times New Roman"/>
          <w:sz w:val="28"/>
          <w:szCs w:val="28"/>
        </w:rPr>
      </w:pPr>
    </w:p>
    <w:p w:rsidR="006A7AD0" w:rsidRDefault="006A7AD0" w:rsidP="00036DEE">
      <w:pPr>
        <w:pStyle w:val="Naslov2"/>
      </w:pPr>
      <w:bookmarkStart w:id="1" w:name="_Toc135657522"/>
      <w:r w:rsidRPr="000C01F8">
        <w:t>P</w:t>
      </w:r>
      <w:r w:rsidR="00036DEE">
        <w:t xml:space="preserve"> </w:t>
      </w:r>
      <w:r w:rsidRPr="000C01F8">
        <w:t>R</w:t>
      </w:r>
      <w:r w:rsidR="00036DEE">
        <w:t xml:space="preserve"> </w:t>
      </w:r>
      <w:r w:rsidRPr="000C01F8">
        <w:t>I</w:t>
      </w:r>
      <w:r w:rsidR="00036DEE">
        <w:t xml:space="preserve"> </w:t>
      </w:r>
      <w:r w:rsidRPr="000C01F8">
        <w:t>H</w:t>
      </w:r>
      <w:r w:rsidR="00036DEE">
        <w:t xml:space="preserve"> </w:t>
      </w:r>
      <w:r w:rsidRPr="000C01F8">
        <w:t>O</w:t>
      </w:r>
      <w:r w:rsidR="00036DEE">
        <w:t xml:space="preserve"> </w:t>
      </w:r>
      <w:r w:rsidRPr="000C01F8">
        <w:t>D</w:t>
      </w:r>
      <w:r w:rsidR="00036DEE">
        <w:t xml:space="preserve"> </w:t>
      </w:r>
      <w:r w:rsidRPr="000C01F8">
        <w:t>I</w:t>
      </w:r>
      <w:bookmarkEnd w:id="1"/>
    </w:p>
    <w:p w:rsidR="00036DEE" w:rsidRPr="00036DEE" w:rsidRDefault="00036DEE" w:rsidP="00036DEE"/>
    <w:p w:rsidR="0069302A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(6</w:t>
      </w:r>
      <w:r w:rsidR="002D0CC0">
        <w:rPr>
          <w:rFonts w:ascii="Times New Roman" w:hAnsi="Times New Roman" w:cs="Times New Roman"/>
          <w:b/>
          <w:sz w:val="24"/>
          <w:szCs w:val="24"/>
        </w:rPr>
        <w:t>3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:rsidR="00064C4E" w:rsidRDefault="0012479A" w:rsidP="003D38D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6323 –tekuće pomoći od institucija i tijela EU u i</w:t>
      </w:r>
      <w:r w:rsidR="00785AD1">
        <w:rPr>
          <w:rFonts w:ascii="Times New Roman" w:hAnsi="Times New Roman" w:cs="Times New Roman"/>
          <w:sz w:val="24"/>
          <w:szCs w:val="24"/>
        </w:rPr>
        <w:t xml:space="preserve">znosu od </w:t>
      </w:r>
      <w:r w:rsidR="00E23F3D">
        <w:rPr>
          <w:rFonts w:ascii="Times New Roman" w:hAnsi="Times New Roman" w:cs="Times New Roman"/>
          <w:sz w:val="24"/>
          <w:szCs w:val="24"/>
        </w:rPr>
        <w:t>5.241,25</w:t>
      </w:r>
      <w:r w:rsidR="00785AD1">
        <w:rPr>
          <w:rFonts w:ascii="Times New Roman" w:hAnsi="Times New Roman" w:cs="Times New Roman"/>
          <w:sz w:val="24"/>
          <w:szCs w:val="24"/>
        </w:rPr>
        <w:t xml:space="preserve"> EUR s</w:t>
      </w:r>
      <w:r w:rsidR="00485D34">
        <w:rPr>
          <w:rFonts w:ascii="Times New Roman" w:hAnsi="Times New Roman" w:cs="Times New Roman"/>
          <w:sz w:val="24"/>
          <w:szCs w:val="24"/>
        </w:rPr>
        <w:t>u prihodi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7F18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787F1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C6A">
        <w:rPr>
          <w:rFonts w:ascii="Times New Roman" w:hAnsi="Times New Roman" w:cs="Times New Roman"/>
          <w:sz w:val="24"/>
          <w:szCs w:val="24"/>
        </w:rPr>
        <w:t xml:space="preserve">OPP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497A" w:rsidRPr="00D8497A">
        <w:rPr>
          <w:rFonts w:ascii="Times New Roman" w:hAnsi="Times New Roman" w:cs="Times New Roman"/>
          <w:sz w:val="24"/>
          <w:szCs w:val="24"/>
        </w:rPr>
        <w:t>Uvođenje inteligentnih transportnih sustava na funkcionalnom prometnom području grada Splita</w:t>
      </w:r>
      <w:r w:rsidR="00D8497A">
        <w:rPr>
          <w:rFonts w:ascii="Times New Roman" w:hAnsi="Times New Roman" w:cs="Times New Roman"/>
          <w:sz w:val="24"/>
          <w:szCs w:val="24"/>
        </w:rPr>
        <w:t>.</w:t>
      </w:r>
    </w:p>
    <w:p w:rsidR="00036DEE" w:rsidRPr="00064C4E" w:rsidRDefault="00E23F3D" w:rsidP="00E23F3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6324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kapitalne </w:t>
      </w:r>
      <w:r>
        <w:rPr>
          <w:rFonts w:ascii="Times New Roman" w:hAnsi="Times New Roman" w:cs="Times New Roman"/>
          <w:sz w:val="24"/>
          <w:szCs w:val="24"/>
        </w:rPr>
        <w:t xml:space="preserve"> pomoći od institucija i tijela EU u iznosu od </w:t>
      </w:r>
      <w:r>
        <w:rPr>
          <w:rFonts w:ascii="Times New Roman" w:hAnsi="Times New Roman" w:cs="Times New Roman"/>
          <w:sz w:val="24"/>
          <w:szCs w:val="24"/>
        </w:rPr>
        <w:t>468.652,70</w:t>
      </w:r>
      <w:r>
        <w:rPr>
          <w:rFonts w:ascii="Times New Roman" w:hAnsi="Times New Roman" w:cs="Times New Roman"/>
          <w:sz w:val="24"/>
          <w:szCs w:val="24"/>
        </w:rPr>
        <w:t xml:space="preserve"> EUR su prihodi  po projektu  </w:t>
      </w:r>
      <w:r>
        <w:rPr>
          <w:rFonts w:ascii="Times New Roman" w:hAnsi="Times New Roman" w:cs="Times New Roman"/>
          <w:sz w:val="24"/>
          <w:szCs w:val="24"/>
        </w:rPr>
        <w:t xml:space="preserve">NPOO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Novi putnički terminal u bazenu Gradska luka.</w:t>
      </w:r>
    </w:p>
    <w:p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(64)</w:t>
      </w:r>
    </w:p>
    <w:p w:rsidR="00036DEE" w:rsidRPr="00064C4E" w:rsidRDefault="0012479A" w:rsidP="00787F1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</w:t>
      </w:r>
      <w:r w:rsidR="00785AD1">
        <w:rPr>
          <w:rFonts w:ascii="Times New Roman" w:hAnsi="Times New Roman" w:cs="Times New Roman"/>
          <w:sz w:val="24"/>
          <w:szCs w:val="24"/>
        </w:rPr>
        <w:t>6414</w:t>
      </w:r>
      <w:r w:rsidR="005A35D8">
        <w:rPr>
          <w:rFonts w:ascii="Times New Roman" w:hAnsi="Times New Roman" w:cs="Times New Roman"/>
          <w:sz w:val="24"/>
          <w:szCs w:val="24"/>
        </w:rPr>
        <w:t xml:space="preserve"> </w:t>
      </w:r>
      <w:r w:rsidR="00785AD1">
        <w:rPr>
          <w:rFonts w:ascii="Times New Roman" w:hAnsi="Times New Roman" w:cs="Times New Roman"/>
          <w:sz w:val="24"/>
          <w:szCs w:val="24"/>
        </w:rPr>
        <w:t>su ostvareni prihodi od zateznih ka</w:t>
      </w:r>
      <w:r w:rsidR="005A0D29">
        <w:rPr>
          <w:rFonts w:ascii="Times New Roman" w:hAnsi="Times New Roman" w:cs="Times New Roman"/>
          <w:sz w:val="24"/>
          <w:szCs w:val="24"/>
        </w:rPr>
        <w:t xml:space="preserve">mata u iznosu od </w:t>
      </w:r>
      <w:r w:rsidR="008C764F">
        <w:rPr>
          <w:rFonts w:ascii="Times New Roman" w:hAnsi="Times New Roman" w:cs="Times New Roman"/>
          <w:sz w:val="24"/>
          <w:szCs w:val="24"/>
        </w:rPr>
        <w:t>5</w:t>
      </w:r>
      <w:r w:rsidR="00E23F3D">
        <w:rPr>
          <w:rFonts w:ascii="Times New Roman" w:hAnsi="Times New Roman" w:cs="Times New Roman"/>
          <w:sz w:val="24"/>
          <w:szCs w:val="24"/>
        </w:rPr>
        <w:t>6.557,22</w:t>
      </w:r>
      <w:r w:rsidR="005A0D29">
        <w:rPr>
          <w:rFonts w:ascii="Times New Roman" w:hAnsi="Times New Roman" w:cs="Times New Roman"/>
          <w:sz w:val="24"/>
          <w:szCs w:val="24"/>
        </w:rPr>
        <w:t xml:space="preserve"> EUR.</w:t>
      </w:r>
      <w:r w:rsidR="003D38D7">
        <w:rPr>
          <w:rFonts w:ascii="Times New Roman" w:hAnsi="Times New Roman" w:cs="Times New Roman"/>
          <w:sz w:val="24"/>
          <w:szCs w:val="24"/>
        </w:rPr>
        <w:t xml:space="preserve"> </w:t>
      </w:r>
      <w:r w:rsidR="005A0D29">
        <w:rPr>
          <w:rFonts w:ascii="Times New Roman" w:hAnsi="Times New Roman" w:cs="Times New Roman"/>
          <w:sz w:val="24"/>
          <w:szCs w:val="24"/>
        </w:rPr>
        <w:t>N</w:t>
      </w:r>
      <w:r w:rsidR="00785AD1">
        <w:rPr>
          <w:rFonts w:ascii="Times New Roman" w:hAnsi="Times New Roman" w:cs="Times New Roman"/>
          <w:sz w:val="24"/>
          <w:szCs w:val="24"/>
        </w:rPr>
        <w:t xml:space="preserve">a kontu </w:t>
      </w:r>
      <w:r w:rsidR="005A35D8">
        <w:rPr>
          <w:rFonts w:ascii="Times New Roman" w:hAnsi="Times New Roman" w:cs="Times New Roman"/>
          <w:sz w:val="24"/>
          <w:szCs w:val="24"/>
        </w:rPr>
        <w:t xml:space="preserve">6421 </w:t>
      </w:r>
      <w:r w:rsidR="00560245">
        <w:rPr>
          <w:rFonts w:ascii="Times New Roman" w:hAnsi="Times New Roman" w:cs="Times New Roman"/>
          <w:sz w:val="24"/>
          <w:szCs w:val="24"/>
        </w:rPr>
        <w:t>-</w:t>
      </w:r>
      <w:r w:rsidR="005A35D8">
        <w:rPr>
          <w:rFonts w:ascii="Times New Roman" w:hAnsi="Times New Roman" w:cs="Times New Roman"/>
          <w:sz w:val="24"/>
          <w:szCs w:val="24"/>
        </w:rPr>
        <w:t xml:space="preserve">naknade za koncesije </w:t>
      </w:r>
      <w:r w:rsidR="00485D34">
        <w:rPr>
          <w:rFonts w:ascii="Times New Roman" w:hAnsi="Times New Roman" w:cs="Times New Roman"/>
          <w:sz w:val="24"/>
          <w:szCs w:val="24"/>
        </w:rPr>
        <w:t>na pomorskom dobru</w:t>
      </w:r>
      <w:r w:rsidR="005A0D29">
        <w:rPr>
          <w:rFonts w:ascii="Times New Roman" w:hAnsi="Times New Roman" w:cs="Times New Roman"/>
          <w:sz w:val="24"/>
          <w:szCs w:val="24"/>
        </w:rPr>
        <w:t xml:space="preserve">, </w:t>
      </w:r>
      <w:r w:rsidR="005A35D8">
        <w:rPr>
          <w:rFonts w:ascii="Times New Roman" w:hAnsi="Times New Roman" w:cs="Times New Roman"/>
          <w:sz w:val="24"/>
          <w:szCs w:val="24"/>
        </w:rPr>
        <w:t xml:space="preserve">ostvaren </w:t>
      </w:r>
      <w:r w:rsidR="007A0903">
        <w:rPr>
          <w:rFonts w:ascii="Times New Roman" w:hAnsi="Times New Roman" w:cs="Times New Roman"/>
          <w:sz w:val="24"/>
          <w:szCs w:val="24"/>
        </w:rPr>
        <w:t xml:space="preserve">je </w:t>
      </w:r>
      <w:r w:rsidR="005A35D8">
        <w:rPr>
          <w:rFonts w:ascii="Times New Roman" w:hAnsi="Times New Roman" w:cs="Times New Roman"/>
          <w:sz w:val="24"/>
          <w:szCs w:val="24"/>
        </w:rPr>
        <w:t xml:space="preserve">prihod od </w:t>
      </w:r>
      <w:r w:rsidR="00A30264">
        <w:rPr>
          <w:rFonts w:ascii="Times New Roman" w:hAnsi="Times New Roman" w:cs="Times New Roman"/>
          <w:sz w:val="24"/>
          <w:szCs w:val="24"/>
        </w:rPr>
        <w:t>1.164.372,76</w:t>
      </w:r>
      <w:r w:rsidR="005A35D8">
        <w:rPr>
          <w:rFonts w:ascii="Times New Roman" w:hAnsi="Times New Roman" w:cs="Times New Roman"/>
          <w:sz w:val="24"/>
          <w:szCs w:val="24"/>
        </w:rPr>
        <w:t xml:space="preserve"> EUR</w:t>
      </w:r>
      <w:r w:rsidR="00DB2993">
        <w:rPr>
          <w:rFonts w:ascii="Times New Roman" w:hAnsi="Times New Roman" w:cs="Times New Roman"/>
          <w:sz w:val="24"/>
          <w:szCs w:val="24"/>
        </w:rPr>
        <w:t xml:space="preserve">. </w:t>
      </w:r>
      <w:r w:rsidR="00B062DA">
        <w:rPr>
          <w:rFonts w:ascii="Times New Roman" w:hAnsi="Times New Roman" w:cs="Times New Roman"/>
          <w:sz w:val="24"/>
          <w:szCs w:val="24"/>
        </w:rPr>
        <w:t xml:space="preserve">Zabilježen je </w:t>
      </w:r>
      <w:r w:rsidR="00A30264">
        <w:rPr>
          <w:rFonts w:ascii="Times New Roman" w:hAnsi="Times New Roman" w:cs="Times New Roman"/>
          <w:sz w:val="24"/>
          <w:szCs w:val="24"/>
        </w:rPr>
        <w:t>porast</w:t>
      </w:r>
      <w:r w:rsidR="00787F18">
        <w:rPr>
          <w:rFonts w:ascii="Times New Roman" w:hAnsi="Times New Roman" w:cs="Times New Roman"/>
          <w:sz w:val="24"/>
          <w:szCs w:val="24"/>
        </w:rPr>
        <w:t xml:space="preserve"> </w:t>
      </w:r>
      <w:r w:rsidR="00B062DA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E5535C">
        <w:rPr>
          <w:rFonts w:ascii="Times New Roman" w:hAnsi="Times New Roman" w:cs="Times New Roman"/>
          <w:sz w:val="24"/>
          <w:szCs w:val="24"/>
        </w:rPr>
        <w:t>prethodno usporedivo razdoblje u</w:t>
      </w:r>
      <w:r w:rsidR="00B062DA">
        <w:rPr>
          <w:rFonts w:ascii="Times New Roman" w:hAnsi="Times New Roman" w:cs="Times New Roman"/>
          <w:sz w:val="24"/>
          <w:szCs w:val="24"/>
        </w:rPr>
        <w:t xml:space="preserve"> </w:t>
      </w:r>
      <w:r w:rsidR="00B062DA" w:rsidRPr="008C764F">
        <w:rPr>
          <w:rFonts w:ascii="Times New Roman" w:hAnsi="Times New Roman" w:cs="Times New Roman"/>
          <w:sz w:val="24"/>
          <w:szCs w:val="24"/>
        </w:rPr>
        <w:t xml:space="preserve">visini od </w:t>
      </w:r>
      <w:r w:rsidR="00A30264">
        <w:rPr>
          <w:rFonts w:ascii="Times New Roman" w:hAnsi="Times New Roman" w:cs="Times New Roman"/>
          <w:sz w:val="24"/>
          <w:szCs w:val="24"/>
        </w:rPr>
        <w:t>8,7</w:t>
      </w:r>
      <w:r w:rsidR="00B062DA" w:rsidRPr="008C764F">
        <w:rPr>
          <w:rFonts w:ascii="Times New Roman" w:hAnsi="Times New Roman" w:cs="Times New Roman"/>
          <w:sz w:val="24"/>
          <w:szCs w:val="24"/>
        </w:rPr>
        <w:t xml:space="preserve">%. </w:t>
      </w:r>
      <w:r w:rsidR="00DB2993">
        <w:rPr>
          <w:rFonts w:ascii="Times New Roman" w:hAnsi="Times New Roman" w:cs="Times New Roman"/>
          <w:sz w:val="24"/>
          <w:szCs w:val="24"/>
        </w:rPr>
        <w:t>Lučka uprava</w:t>
      </w:r>
      <w:r w:rsidR="00787F18">
        <w:rPr>
          <w:rFonts w:ascii="Times New Roman" w:hAnsi="Times New Roman" w:cs="Times New Roman"/>
          <w:sz w:val="24"/>
          <w:szCs w:val="24"/>
        </w:rPr>
        <w:t xml:space="preserve">  intenzivno poduzima mjere na naplatu prihoda.</w:t>
      </w:r>
    </w:p>
    <w:p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</w:t>
      </w:r>
      <w:r w:rsidRPr="00D649D7">
        <w:rPr>
          <w:rFonts w:ascii="Times New Roman" w:hAnsi="Times New Roman" w:cs="Times New Roman"/>
          <w:b/>
          <w:sz w:val="24"/>
          <w:szCs w:val="24"/>
        </w:rPr>
        <w:t>(65)</w:t>
      </w:r>
    </w:p>
    <w:p w:rsidR="00EB40C1" w:rsidRDefault="005A35D8" w:rsidP="00B37B9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6514- ostale pristojbe i naknade je ostvaren prihod od lučkih pristojbi u iznosu od </w:t>
      </w:r>
      <w:r w:rsidR="00907621">
        <w:rPr>
          <w:rFonts w:ascii="Times New Roman" w:hAnsi="Times New Roman" w:cs="Times New Roman"/>
          <w:sz w:val="24"/>
          <w:szCs w:val="24"/>
        </w:rPr>
        <w:t>1.819.590,06</w:t>
      </w:r>
      <w:r w:rsidR="007A0903">
        <w:rPr>
          <w:rFonts w:ascii="Times New Roman" w:hAnsi="Times New Roman" w:cs="Times New Roman"/>
          <w:sz w:val="24"/>
          <w:szCs w:val="24"/>
        </w:rPr>
        <w:t xml:space="preserve"> EUR, koji se sastoje od  p</w:t>
      </w:r>
      <w:r w:rsidR="00560245">
        <w:rPr>
          <w:rFonts w:ascii="Times New Roman" w:hAnsi="Times New Roman" w:cs="Times New Roman"/>
          <w:sz w:val="24"/>
          <w:szCs w:val="24"/>
        </w:rPr>
        <w:t>ri</w:t>
      </w:r>
      <w:r w:rsidR="007A0903">
        <w:rPr>
          <w:rFonts w:ascii="Times New Roman" w:hAnsi="Times New Roman" w:cs="Times New Roman"/>
          <w:sz w:val="24"/>
          <w:szCs w:val="24"/>
        </w:rPr>
        <w:t xml:space="preserve">hoda </w:t>
      </w:r>
      <w:r w:rsidR="000709CE">
        <w:rPr>
          <w:rFonts w:ascii="Times New Roman" w:hAnsi="Times New Roman" w:cs="Times New Roman"/>
          <w:sz w:val="24"/>
          <w:szCs w:val="24"/>
        </w:rPr>
        <w:t xml:space="preserve"> teretnog prometa</w:t>
      </w:r>
      <w:r w:rsidR="007A0903">
        <w:rPr>
          <w:rFonts w:ascii="Times New Roman" w:hAnsi="Times New Roman" w:cs="Times New Roman"/>
          <w:sz w:val="24"/>
          <w:szCs w:val="24"/>
        </w:rPr>
        <w:t xml:space="preserve"> u  iznosu od</w:t>
      </w:r>
      <w:r w:rsidR="000709CE">
        <w:rPr>
          <w:rFonts w:ascii="Times New Roman" w:hAnsi="Times New Roman" w:cs="Times New Roman"/>
          <w:sz w:val="24"/>
          <w:szCs w:val="24"/>
        </w:rPr>
        <w:t xml:space="preserve"> </w:t>
      </w:r>
      <w:r w:rsidR="00EB40C1">
        <w:rPr>
          <w:rFonts w:ascii="Times New Roman" w:hAnsi="Times New Roman" w:cs="Times New Roman"/>
          <w:sz w:val="24"/>
          <w:szCs w:val="24"/>
        </w:rPr>
        <w:t>703.764,56</w:t>
      </w:r>
      <w:r w:rsidR="000709CE">
        <w:rPr>
          <w:rFonts w:ascii="Times New Roman" w:hAnsi="Times New Roman" w:cs="Times New Roman"/>
          <w:sz w:val="24"/>
          <w:szCs w:val="24"/>
        </w:rPr>
        <w:t xml:space="preserve"> EUR, dok  </w:t>
      </w:r>
      <w:r w:rsidR="00EB40C1">
        <w:rPr>
          <w:rFonts w:ascii="Times New Roman" w:hAnsi="Times New Roman" w:cs="Times New Roman"/>
          <w:sz w:val="24"/>
          <w:szCs w:val="24"/>
        </w:rPr>
        <w:t>se 1.115.825,50 EUR odnosi na putnički promet.</w:t>
      </w:r>
    </w:p>
    <w:p w:rsidR="00036DEE" w:rsidRDefault="00492977" w:rsidP="00B37B9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Zabilježen je porast u odnosu na </w:t>
      </w:r>
      <w:r w:rsidR="004405EA">
        <w:rPr>
          <w:rFonts w:ascii="Times New Roman" w:hAnsi="Times New Roman" w:cs="Times New Roman"/>
          <w:sz w:val="24"/>
          <w:szCs w:val="24"/>
        </w:rPr>
        <w:t xml:space="preserve">prethodno usporedivo razdoblje </w:t>
      </w:r>
      <w:r>
        <w:rPr>
          <w:rFonts w:ascii="Times New Roman" w:hAnsi="Times New Roman" w:cs="Times New Roman"/>
          <w:sz w:val="24"/>
          <w:szCs w:val="24"/>
        </w:rPr>
        <w:t xml:space="preserve"> u v</w:t>
      </w:r>
      <w:r w:rsidR="008F611D">
        <w:rPr>
          <w:rFonts w:ascii="Times New Roman" w:hAnsi="Times New Roman" w:cs="Times New Roman"/>
          <w:sz w:val="24"/>
          <w:szCs w:val="24"/>
        </w:rPr>
        <w:t xml:space="preserve">isini od </w:t>
      </w:r>
      <w:r w:rsidR="00907621">
        <w:rPr>
          <w:rFonts w:ascii="Times New Roman" w:hAnsi="Times New Roman" w:cs="Times New Roman"/>
          <w:sz w:val="24"/>
          <w:szCs w:val="24"/>
        </w:rPr>
        <w:t>18,2</w:t>
      </w:r>
      <w:r w:rsidR="0030404D">
        <w:rPr>
          <w:rFonts w:ascii="Times New Roman" w:hAnsi="Times New Roman" w:cs="Times New Roman"/>
          <w:sz w:val="24"/>
          <w:szCs w:val="24"/>
        </w:rPr>
        <w:t>%.</w:t>
      </w:r>
      <w:r w:rsidR="000709CE">
        <w:rPr>
          <w:rFonts w:ascii="Times New Roman" w:hAnsi="Times New Roman" w:cs="Times New Roman"/>
          <w:sz w:val="24"/>
          <w:szCs w:val="24"/>
        </w:rPr>
        <w:t xml:space="preserve"> Prema  sadašnjim najavama u 2024</w:t>
      </w:r>
      <w:r w:rsidR="007F3766">
        <w:rPr>
          <w:rFonts w:ascii="Times New Roman" w:hAnsi="Times New Roman" w:cs="Times New Roman"/>
          <w:sz w:val="24"/>
          <w:szCs w:val="24"/>
        </w:rPr>
        <w:t xml:space="preserve">.godini se očekuje </w:t>
      </w:r>
      <w:r w:rsidR="0030404D">
        <w:rPr>
          <w:rFonts w:ascii="Times New Roman" w:hAnsi="Times New Roman" w:cs="Times New Roman"/>
          <w:sz w:val="24"/>
          <w:szCs w:val="24"/>
        </w:rPr>
        <w:t xml:space="preserve">dolazak </w:t>
      </w:r>
      <w:r w:rsidR="007F3766">
        <w:rPr>
          <w:rFonts w:ascii="Times New Roman" w:hAnsi="Times New Roman" w:cs="Times New Roman"/>
          <w:sz w:val="24"/>
          <w:szCs w:val="24"/>
        </w:rPr>
        <w:t>ukupno 3</w:t>
      </w:r>
      <w:r w:rsidR="000709CE">
        <w:rPr>
          <w:rFonts w:ascii="Times New Roman" w:hAnsi="Times New Roman" w:cs="Times New Roman"/>
          <w:sz w:val="24"/>
          <w:szCs w:val="24"/>
        </w:rPr>
        <w:t>30</w:t>
      </w:r>
      <w:r w:rsidR="007F3766">
        <w:rPr>
          <w:rFonts w:ascii="Times New Roman" w:hAnsi="Times New Roman" w:cs="Times New Roman"/>
          <w:sz w:val="24"/>
          <w:szCs w:val="24"/>
        </w:rPr>
        <w:t xml:space="preserve"> ino</w:t>
      </w:r>
      <w:r w:rsidR="000709CE">
        <w:rPr>
          <w:rFonts w:ascii="Times New Roman" w:hAnsi="Times New Roman" w:cs="Times New Roman"/>
          <w:sz w:val="24"/>
          <w:szCs w:val="24"/>
        </w:rPr>
        <w:t xml:space="preserve">zemnih </w:t>
      </w:r>
      <w:r w:rsidR="007F3766">
        <w:rPr>
          <w:rFonts w:ascii="Times New Roman" w:hAnsi="Times New Roman" w:cs="Times New Roman"/>
          <w:sz w:val="24"/>
          <w:szCs w:val="24"/>
        </w:rPr>
        <w:t xml:space="preserve"> kruzera </w:t>
      </w:r>
      <w:r w:rsidR="000709CE">
        <w:rPr>
          <w:rFonts w:ascii="Times New Roman" w:hAnsi="Times New Roman" w:cs="Times New Roman"/>
          <w:sz w:val="24"/>
          <w:szCs w:val="24"/>
        </w:rPr>
        <w:t>u gradsku luku</w:t>
      </w:r>
      <w:r w:rsidR="00907621">
        <w:rPr>
          <w:rFonts w:ascii="Times New Roman" w:hAnsi="Times New Roman" w:cs="Times New Roman"/>
          <w:sz w:val="24"/>
          <w:szCs w:val="24"/>
        </w:rPr>
        <w:t>.</w:t>
      </w:r>
    </w:p>
    <w:p w:rsidR="00036DEE" w:rsidRPr="00036DE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usluga, prihodi od donacija te povrati po protestiranim jamstvima </w:t>
      </w:r>
      <w:r w:rsidRPr="00D649D7">
        <w:rPr>
          <w:rFonts w:ascii="Times New Roman" w:hAnsi="Times New Roman" w:cs="Times New Roman"/>
          <w:b/>
          <w:sz w:val="24"/>
          <w:szCs w:val="24"/>
        </w:rPr>
        <w:t>(66)</w:t>
      </w:r>
    </w:p>
    <w:p w:rsidR="00064C4E" w:rsidRDefault="00485D34" w:rsidP="00B37B9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6615 –prihodi od pruženih usluga </w:t>
      </w:r>
      <w:r w:rsidR="00430D6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135D3">
        <w:rPr>
          <w:rFonts w:ascii="Times New Roman" w:hAnsi="Times New Roman" w:cs="Times New Roman"/>
          <w:sz w:val="24"/>
          <w:szCs w:val="24"/>
        </w:rPr>
        <w:t>52.906,44</w:t>
      </w:r>
      <w:r w:rsidR="008C764F">
        <w:rPr>
          <w:rFonts w:ascii="Times New Roman" w:hAnsi="Times New Roman" w:cs="Times New Roman"/>
          <w:sz w:val="24"/>
          <w:szCs w:val="24"/>
        </w:rPr>
        <w:t xml:space="preserve"> </w:t>
      </w:r>
      <w:r w:rsidR="00430D63">
        <w:rPr>
          <w:rFonts w:ascii="Times New Roman" w:hAnsi="Times New Roman" w:cs="Times New Roman"/>
          <w:sz w:val="24"/>
          <w:szCs w:val="24"/>
        </w:rPr>
        <w:t>EUR predstavljaju prihode od refundacije troškova električne ene</w:t>
      </w:r>
      <w:r w:rsidR="00492977">
        <w:rPr>
          <w:rFonts w:ascii="Times New Roman" w:hAnsi="Times New Roman" w:cs="Times New Roman"/>
          <w:sz w:val="24"/>
          <w:szCs w:val="24"/>
        </w:rPr>
        <w:t>rgije</w:t>
      </w:r>
      <w:r w:rsidR="006A38D2">
        <w:rPr>
          <w:rFonts w:ascii="Times New Roman" w:hAnsi="Times New Roman" w:cs="Times New Roman"/>
          <w:sz w:val="24"/>
          <w:szCs w:val="24"/>
        </w:rPr>
        <w:t xml:space="preserve">, </w:t>
      </w:r>
      <w:r w:rsidR="00430D63">
        <w:rPr>
          <w:rFonts w:ascii="Times New Roman" w:hAnsi="Times New Roman" w:cs="Times New Roman"/>
          <w:sz w:val="24"/>
          <w:szCs w:val="24"/>
        </w:rPr>
        <w:t>vode i domara koje uplaćuju korisnici prostora u zgradi Pomorsko-putničkog terminala u gradskoj luci.</w:t>
      </w:r>
    </w:p>
    <w:p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9302A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i od HZZO-a na temelju ugovornih obveza </w:t>
      </w:r>
      <w:r w:rsidRPr="00D649D7">
        <w:rPr>
          <w:rFonts w:ascii="Times New Roman" w:hAnsi="Times New Roman" w:cs="Times New Roman"/>
          <w:b/>
          <w:sz w:val="24"/>
          <w:szCs w:val="24"/>
        </w:rPr>
        <w:t>(67)</w:t>
      </w:r>
    </w:p>
    <w:p w:rsidR="00036DEE" w:rsidRDefault="00C564FB" w:rsidP="00B570C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564FB">
        <w:rPr>
          <w:rFonts w:ascii="Times New Roman" w:hAnsi="Times New Roman" w:cs="Times New Roman"/>
          <w:sz w:val="24"/>
          <w:szCs w:val="24"/>
        </w:rPr>
        <w:t>Na kontu 6711 su evidentirani prihodi iz nadležnog proračuna za financiranje</w:t>
      </w:r>
      <w:r w:rsidR="00A02F34" w:rsidRPr="00A02F34">
        <w:rPr>
          <w:rFonts w:ascii="Times New Roman" w:hAnsi="Times New Roman" w:cs="Times New Roman"/>
          <w:sz w:val="24"/>
          <w:szCs w:val="24"/>
        </w:rPr>
        <w:t xml:space="preserve"> </w:t>
      </w:r>
      <w:r w:rsidR="00A02F34" w:rsidRPr="00C564FB">
        <w:rPr>
          <w:rFonts w:ascii="Times New Roman" w:hAnsi="Times New Roman" w:cs="Times New Roman"/>
          <w:sz w:val="24"/>
          <w:szCs w:val="24"/>
        </w:rPr>
        <w:t>troškova tekućeg i investicijskog održavanja</w:t>
      </w:r>
      <w:r w:rsidRPr="00C564F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11655">
        <w:rPr>
          <w:rFonts w:ascii="Times New Roman" w:hAnsi="Times New Roman" w:cs="Times New Roman"/>
          <w:sz w:val="24"/>
          <w:szCs w:val="24"/>
        </w:rPr>
        <w:t>331.368,30E</w:t>
      </w:r>
      <w:r w:rsidR="00A02F34">
        <w:rPr>
          <w:rFonts w:ascii="Times New Roman" w:hAnsi="Times New Roman" w:cs="Times New Roman"/>
          <w:sz w:val="24"/>
          <w:szCs w:val="24"/>
        </w:rPr>
        <w:t>UR.</w:t>
      </w:r>
      <w:r w:rsidRPr="00C564FB">
        <w:rPr>
          <w:rFonts w:ascii="Times New Roman" w:hAnsi="Times New Roman" w:cs="Times New Roman"/>
          <w:sz w:val="24"/>
          <w:szCs w:val="24"/>
        </w:rPr>
        <w:t xml:space="preserve"> ( izvor 11)</w:t>
      </w:r>
      <w:r w:rsidR="00A02F34">
        <w:rPr>
          <w:rFonts w:ascii="Times New Roman" w:hAnsi="Times New Roman" w:cs="Times New Roman"/>
          <w:sz w:val="24"/>
          <w:szCs w:val="24"/>
        </w:rPr>
        <w:t>.</w:t>
      </w:r>
      <w:r w:rsidRPr="00C5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769" w:rsidRDefault="00B83769" w:rsidP="00B570C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564FB">
        <w:rPr>
          <w:rFonts w:ascii="Times New Roman" w:hAnsi="Times New Roman" w:cs="Times New Roman"/>
          <w:sz w:val="24"/>
          <w:szCs w:val="24"/>
        </w:rPr>
        <w:t>Na kontu 671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64FB">
        <w:rPr>
          <w:rFonts w:ascii="Times New Roman" w:hAnsi="Times New Roman" w:cs="Times New Roman"/>
          <w:sz w:val="24"/>
          <w:szCs w:val="24"/>
        </w:rPr>
        <w:t xml:space="preserve"> su evidentirani prihodi iz nadležnog proračuna za financiranje</w:t>
      </w:r>
      <w:r w:rsidRPr="00A02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rashoda </w:t>
      </w:r>
      <w:r w:rsidR="00F57813">
        <w:rPr>
          <w:rFonts w:ascii="Times New Roman" w:hAnsi="Times New Roman" w:cs="Times New Roman"/>
          <w:sz w:val="24"/>
          <w:szCs w:val="24"/>
        </w:rPr>
        <w:t xml:space="preserve"> za nabavu nefinancijske imovine za projekt Novi putnički terminal u bazenu Gradske  luke. </w:t>
      </w:r>
      <w:r w:rsidRPr="00C564FB">
        <w:rPr>
          <w:rFonts w:ascii="Times New Roman" w:hAnsi="Times New Roman" w:cs="Times New Roman"/>
          <w:sz w:val="24"/>
          <w:szCs w:val="24"/>
        </w:rPr>
        <w:t xml:space="preserve"> </w:t>
      </w:r>
      <w:r w:rsidR="00F57813">
        <w:rPr>
          <w:rFonts w:ascii="Times New Roman" w:hAnsi="Times New Roman" w:cs="Times New Roman"/>
          <w:sz w:val="24"/>
          <w:szCs w:val="24"/>
        </w:rPr>
        <w:t>Predmetni projekt se financira dijelom iz NPOO i sredstava Državnog proračuna.</w:t>
      </w:r>
    </w:p>
    <w:p w:rsidR="00C8340A" w:rsidRPr="00064C4E" w:rsidRDefault="00C8340A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6714 su evidentirani prihodi iz nadležnog proračuna za financiranje izdataka za otplatu  </w:t>
      </w:r>
      <w:r w:rsidR="00FA2365">
        <w:rPr>
          <w:rFonts w:ascii="Times New Roman" w:hAnsi="Times New Roman" w:cs="Times New Roman"/>
          <w:sz w:val="24"/>
          <w:szCs w:val="24"/>
        </w:rPr>
        <w:t>zajma EBRD-a.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DEE" w:rsidRPr="00BF5279" w:rsidRDefault="000D58E1" w:rsidP="00BF527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</w:t>
      </w:r>
      <w:r w:rsidRPr="00D649D7">
        <w:rPr>
          <w:rFonts w:ascii="Times New Roman" w:hAnsi="Times New Roman" w:cs="Times New Roman"/>
          <w:b/>
          <w:sz w:val="24"/>
          <w:szCs w:val="24"/>
        </w:rPr>
        <w:t>(68)</w:t>
      </w:r>
      <w:r w:rsidR="00D42ECC" w:rsidRPr="00BF52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DEE" w:rsidRPr="00036DEE" w:rsidRDefault="00511B95" w:rsidP="005164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6831 u iznosu od </w:t>
      </w:r>
      <w:r w:rsidR="00BB59A5">
        <w:rPr>
          <w:rFonts w:ascii="Times New Roman" w:hAnsi="Times New Roman" w:cs="Times New Roman"/>
          <w:sz w:val="24"/>
          <w:szCs w:val="24"/>
        </w:rPr>
        <w:t>14.341,81</w:t>
      </w:r>
      <w:r w:rsidR="008C764F">
        <w:rPr>
          <w:rFonts w:ascii="Times New Roman" w:hAnsi="Times New Roman" w:cs="Times New Roman"/>
          <w:sz w:val="24"/>
          <w:szCs w:val="24"/>
        </w:rPr>
        <w:t xml:space="preserve"> EUR</w:t>
      </w:r>
      <w:r w:rsidR="00814FB9">
        <w:rPr>
          <w:rFonts w:ascii="Times New Roman" w:hAnsi="Times New Roman" w:cs="Times New Roman"/>
          <w:sz w:val="24"/>
          <w:szCs w:val="24"/>
        </w:rPr>
        <w:t xml:space="preserve"> </w:t>
      </w:r>
      <w:r w:rsidR="00814FB9">
        <w:rPr>
          <w:rFonts w:ascii="Times New Roman" w:hAnsi="Times New Roman" w:cs="Times New Roman"/>
          <w:sz w:val="24"/>
          <w:szCs w:val="24"/>
        </w:rPr>
        <w:tab/>
        <w:t xml:space="preserve">su prihodi od naplaćenih naknada za sudske troškove i pokrenute sporove prema dužnicima. </w:t>
      </w:r>
    </w:p>
    <w:p w:rsidR="00680392" w:rsidRDefault="00680392" w:rsidP="00680392">
      <w:pPr>
        <w:pStyle w:val="Odlomakpopisa"/>
        <w:ind w:left="420"/>
        <w:rPr>
          <w:rFonts w:ascii="Times New Roman" w:hAnsi="Times New Roman" w:cs="Times New Roman"/>
          <w:sz w:val="24"/>
          <w:szCs w:val="24"/>
        </w:rPr>
      </w:pPr>
    </w:p>
    <w:p w:rsidR="000D58E1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(7)</w:t>
      </w:r>
    </w:p>
    <w:p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1D4818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(71)</w:t>
      </w:r>
    </w:p>
    <w:p w:rsidR="00064C4E" w:rsidRDefault="00064C4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1D4818" w:rsidRPr="00D649D7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(72)</w:t>
      </w:r>
    </w:p>
    <w:p w:rsidR="00064C4E" w:rsidRDefault="00064C4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od zaduživanja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(84)</w:t>
      </w:r>
    </w:p>
    <w:p w:rsidR="006A7AD0" w:rsidRDefault="006A7AD0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680392" w:rsidRDefault="00680392" w:rsidP="00036DEE">
      <w:pPr>
        <w:pStyle w:val="Naslov2"/>
      </w:pPr>
    </w:p>
    <w:p w:rsidR="000D58E1" w:rsidRDefault="006A7AD0" w:rsidP="00036DEE">
      <w:pPr>
        <w:pStyle w:val="Naslov2"/>
      </w:pPr>
      <w:bookmarkStart w:id="2" w:name="_Toc135657523"/>
      <w:r w:rsidRPr="00614260">
        <w:t>R</w:t>
      </w:r>
      <w:r w:rsidR="00036DEE">
        <w:t xml:space="preserve"> </w:t>
      </w:r>
      <w:r w:rsidRPr="00614260">
        <w:t>A</w:t>
      </w:r>
      <w:r w:rsidR="00036DEE">
        <w:t xml:space="preserve"> </w:t>
      </w:r>
      <w:r w:rsidRPr="00614260">
        <w:t>S</w:t>
      </w:r>
      <w:r w:rsidR="00036DEE">
        <w:t xml:space="preserve"> </w:t>
      </w:r>
      <w:r w:rsidRPr="00614260">
        <w:t>H</w:t>
      </w:r>
      <w:r w:rsidR="00036DEE">
        <w:t xml:space="preserve"> </w:t>
      </w:r>
      <w:r w:rsidRPr="00614260">
        <w:t>O</w:t>
      </w:r>
      <w:r w:rsidR="00036DEE">
        <w:t xml:space="preserve"> </w:t>
      </w:r>
      <w:r w:rsidRPr="00614260">
        <w:t>D</w:t>
      </w:r>
      <w:r w:rsidR="00036DEE">
        <w:t xml:space="preserve"> </w:t>
      </w:r>
      <w:r w:rsidRPr="00614260">
        <w:t>I</w:t>
      </w:r>
      <w:bookmarkEnd w:id="2"/>
    </w:p>
    <w:p w:rsidR="00036DEE" w:rsidRPr="00036DEE" w:rsidRDefault="00036DEE" w:rsidP="00036DEE"/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D649D7">
        <w:rPr>
          <w:rFonts w:ascii="Times New Roman" w:hAnsi="Times New Roman" w:cs="Times New Roman"/>
          <w:b/>
          <w:sz w:val="24"/>
          <w:szCs w:val="24"/>
        </w:rPr>
        <w:t>(31)</w:t>
      </w:r>
    </w:p>
    <w:p w:rsidR="006D3EAB" w:rsidRPr="004E4465" w:rsidRDefault="000213D8" w:rsidP="006D3EAB">
      <w:pPr>
        <w:pStyle w:val="Naslov3"/>
        <w:spacing w:before="0" w:line="360" w:lineRule="atLeast"/>
        <w:textAlignment w:val="baseline"/>
        <w:rPr>
          <w:rFonts w:ascii="Times" w:eastAsia="Times New Roman" w:hAnsi="Times" w:cs="Times New Roman"/>
          <w:bCs/>
          <w:color w:val="auto"/>
          <w:sz w:val="27"/>
          <w:szCs w:val="27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4465">
        <w:rPr>
          <w:rFonts w:ascii="Times New Roman" w:hAnsi="Times New Roman" w:cs="Times New Roman"/>
          <w:color w:val="auto"/>
        </w:rPr>
        <w:t xml:space="preserve">Rashodi za zaposlene </w:t>
      </w:r>
      <w:r w:rsidR="00DF4937" w:rsidRPr="004E4465">
        <w:rPr>
          <w:rFonts w:ascii="Times New Roman" w:hAnsi="Times New Roman" w:cs="Times New Roman"/>
          <w:color w:val="auto"/>
        </w:rPr>
        <w:t xml:space="preserve">u iznosu od </w:t>
      </w:r>
      <w:r w:rsidR="00606AB8">
        <w:rPr>
          <w:rFonts w:ascii="Times New Roman" w:hAnsi="Times New Roman" w:cs="Times New Roman"/>
          <w:color w:val="auto"/>
        </w:rPr>
        <w:t>987.242,75</w:t>
      </w:r>
      <w:r w:rsidR="00DF4937" w:rsidRPr="004E4465">
        <w:rPr>
          <w:rFonts w:ascii="Times New Roman" w:hAnsi="Times New Roman" w:cs="Times New Roman"/>
          <w:color w:val="auto"/>
        </w:rPr>
        <w:t xml:space="preserve"> EUR </w:t>
      </w:r>
      <w:r w:rsidRPr="004E4465">
        <w:rPr>
          <w:rFonts w:ascii="Times New Roman" w:hAnsi="Times New Roman" w:cs="Times New Roman"/>
          <w:color w:val="auto"/>
        </w:rPr>
        <w:t xml:space="preserve">se  sastoje od bruto plaća za redovan rad  </w:t>
      </w:r>
      <w:r w:rsidR="006611AC" w:rsidRPr="004E4465">
        <w:rPr>
          <w:rFonts w:ascii="Times New Roman" w:hAnsi="Times New Roman" w:cs="Times New Roman"/>
          <w:color w:val="auto"/>
        </w:rPr>
        <w:t>radnika</w:t>
      </w:r>
      <w:r w:rsidR="00DF4937" w:rsidRPr="004E4465">
        <w:rPr>
          <w:rFonts w:ascii="Times New Roman" w:hAnsi="Times New Roman" w:cs="Times New Roman"/>
          <w:color w:val="auto"/>
        </w:rPr>
        <w:t>. Doprinosi za  zdravstveno osiguranje</w:t>
      </w:r>
      <w:r w:rsidR="006D3EAB" w:rsidRPr="004E4465">
        <w:rPr>
          <w:rFonts w:ascii="Times New Roman" w:hAnsi="Times New Roman" w:cs="Times New Roman"/>
          <w:color w:val="auto"/>
        </w:rPr>
        <w:t xml:space="preserve"> iznose </w:t>
      </w:r>
      <w:r w:rsidR="00606AB8">
        <w:rPr>
          <w:rFonts w:ascii="Times New Roman" w:hAnsi="Times New Roman" w:cs="Times New Roman"/>
          <w:color w:val="auto"/>
        </w:rPr>
        <w:t>122.586,04</w:t>
      </w:r>
      <w:r w:rsidR="006D3EAB" w:rsidRPr="004E4465">
        <w:rPr>
          <w:rFonts w:ascii="Times New Roman" w:hAnsi="Times New Roman" w:cs="Times New Roman"/>
          <w:color w:val="auto"/>
        </w:rPr>
        <w:t xml:space="preserve"> EUR. </w:t>
      </w:r>
      <w:r w:rsidR="00DF4937" w:rsidRPr="004E4465">
        <w:rPr>
          <w:rFonts w:ascii="Times New Roman" w:hAnsi="Times New Roman" w:cs="Times New Roman"/>
          <w:color w:val="auto"/>
        </w:rPr>
        <w:t xml:space="preserve"> Ostali rashodi se odnose na </w:t>
      </w:r>
      <w:r w:rsidR="006D3EAB" w:rsidRPr="004E4465">
        <w:rPr>
          <w:rFonts w:ascii="Times New Roman" w:hAnsi="Times New Roman" w:cs="Times New Roman"/>
          <w:color w:val="auto"/>
        </w:rPr>
        <w:t xml:space="preserve"> </w:t>
      </w:r>
      <w:r w:rsidR="00BB39F8">
        <w:rPr>
          <w:rFonts w:ascii="Times New Roman" w:hAnsi="Times New Roman" w:cs="Times New Roman"/>
          <w:color w:val="auto"/>
        </w:rPr>
        <w:t xml:space="preserve"> isplatu</w:t>
      </w:r>
      <w:r w:rsidR="00DF4937" w:rsidRPr="004E4465">
        <w:rPr>
          <w:rFonts w:ascii="Times New Roman" w:hAnsi="Times New Roman" w:cs="Times New Roman"/>
          <w:color w:val="auto"/>
        </w:rPr>
        <w:t xml:space="preserve"> otpremnina za </w:t>
      </w:r>
      <w:r w:rsidR="004E4465" w:rsidRPr="004E4465">
        <w:rPr>
          <w:rFonts w:ascii="Times New Roman" w:hAnsi="Times New Roman" w:cs="Times New Roman"/>
          <w:color w:val="auto"/>
        </w:rPr>
        <w:t>dvo</w:t>
      </w:r>
      <w:r w:rsidR="00DF4937" w:rsidRPr="004E4465">
        <w:rPr>
          <w:rFonts w:ascii="Times New Roman" w:hAnsi="Times New Roman" w:cs="Times New Roman"/>
          <w:color w:val="auto"/>
        </w:rPr>
        <w:t>je ra</w:t>
      </w:r>
      <w:r w:rsidR="006D3EAB" w:rsidRPr="004E4465">
        <w:rPr>
          <w:rFonts w:ascii="Times New Roman" w:hAnsi="Times New Roman" w:cs="Times New Roman"/>
          <w:color w:val="auto"/>
        </w:rPr>
        <w:t xml:space="preserve">dnika koji su otišli u mirovinu, </w:t>
      </w:r>
      <w:r w:rsidR="001B33E1" w:rsidRPr="004E4465">
        <w:rPr>
          <w:rFonts w:ascii="Times New Roman" w:hAnsi="Times New Roman" w:cs="Times New Roman"/>
          <w:color w:val="auto"/>
        </w:rPr>
        <w:t>paušalnu</w:t>
      </w:r>
      <w:r w:rsidR="00691B25" w:rsidRPr="004E4465">
        <w:rPr>
          <w:rFonts w:ascii="Times New Roman" w:hAnsi="Times New Roman" w:cs="Times New Roman"/>
          <w:color w:val="auto"/>
        </w:rPr>
        <w:t xml:space="preserve"> naknadu</w:t>
      </w:r>
      <w:r w:rsidR="005A7DA5" w:rsidRPr="004E4465">
        <w:rPr>
          <w:rFonts w:ascii="Times New Roman" w:hAnsi="Times New Roman" w:cs="Times New Roman"/>
          <w:color w:val="auto"/>
        </w:rPr>
        <w:t xml:space="preserve"> za prehranu</w:t>
      </w:r>
      <w:r w:rsidR="004E4465" w:rsidRPr="004E4465">
        <w:rPr>
          <w:rFonts w:ascii="Times New Roman" w:hAnsi="Times New Roman" w:cs="Times New Roman"/>
          <w:color w:val="auto"/>
        </w:rPr>
        <w:t xml:space="preserve"> radnika</w:t>
      </w:r>
      <w:r w:rsidR="00691B25" w:rsidRPr="004E4465">
        <w:rPr>
          <w:rFonts w:ascii="Times New Roman" w:hAnsi="Times New Roman" w:cs="Times New Roman"/>
          <w:color w:val="auto"/>
        </w:rPr>
        <w:t xml:space="preserve"> </w:t>
      </w:r>
      <w:r w:rsidR="006D3EAB" w:rsidRPr="004E4465">
        <w:rPr>
          <w:rFonts w:ascii="Times New Roman" w:hAnsi="Times New Roman" w:cs="Times New Roman"/>
          <w:color w:val="auto"/>
        </w:rPr>
        <w:t>i isplatu uskrsnice. Zabilježen je porast troškova redovnog rada i doprinosa u odnosu na isto razdoblje prethodne godine iz razloga povećanja osnovice za plaću u travnju i listopadu  2023. godine, kao primjene nove Uredbe o nazivima radnih mjesta, uvjetima za raspored i koeficijentima za obračun plaće u državnoj službi od 31.03.2024. godine.</w:t>
      </w:r>
    </w:p>
    <w:p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Materijalni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(32)</w:t>
      </w:r>
    </w:p>
    <w:p w:rsidR="00835E73" w:rsidRDefault="00835E73" w:rsidP="006334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35E73" w:rsidRDefault="00835E73" w:rsidP="006334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materijalni rashodi su </w:t>
      </w:r>
      <w:r w:rsidR="00D61BB8">
        <w:rPr>
          <w:rFonts w:ascii="Times New Roman" w:hAnsi="Times New Roman" w:cs="Times New Roman"/>
          <w:sz w:val="24"/>
          <w:szCs w:val="24"/>
        </w:rPr>
        <w:t xml:space="preserve">viši </w:t>
      </w:r>
      <w:r w:rsidR="00743CFB">
        <w:rPr>
          <w:rFonts w:ascii="Times New Roman" w:hAnsi="Times New Roman" w:cs="Times New Roman"/>
          <w:sz w:val="24"/>
          <w:szCs w:val="24"/>
        </w:rPr>
        <w:t xml:space="preserve"> za </w:t>
      </w:r>
      <w:r w:rsidR="00D61BB8">
        <w:rPr>
          <w:rFonts w:ascii="Times New Roman" w:hAnsi="Times New Roman" w:cs="Times New Roman"/>
          <w:sz w:val="24"/>
          <w:szCs w:val="24"/>
        </w:rPr>
        <w:t>84,9% u odnosu na</w:t>
      </w:r>
      <w:r w:rsidR="00632B0F">
        <w:rPr>
          <w:rFonts w:ascii="Times New Roman" w:hAnsi="Times New Roman" w:cs="Times New Roman"/>
          <w:sz w:val="24"/>
          <w:szCs w:val="24"/>
        </w:rPr>
        <w:t xml:space="preserve"> prethodno usporedivo razdoblje.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BE4" w:rsidRDefault="00A56B7D" w:rsidP="006334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troškova zaposlenicima</w:t>
      </w:r>
      <w:r w:rsidR="000E65F1">
        <w:rPr>
          <w:rFonts w:ascii="Times New Roman" w:hAnsi="Times New Roman" w:cs="Times New Roman"/>
          <w:sz w:val="24"/>
          <w:szCs w:val="24"/>
        </w:rPr>
        <w:t xml:space="preserve"> konto 321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E73">
        <w:rPr>
          <w:rFonts w:ascii="Times New Roman" w:hAnsi="Times New Roman" w:cs="Times New Roman"/>
          <w:sz w:val="24"/>
          <w:szCs w:val="24"/>
        </w:rPr>
        <w:t xml:space="preserve">su povećani za </w:t>
      </w:r>
      <w:r w:rsidR="003435EA">
        <w:rPr>
          <w:rFonts w:ascii="Times New Roman" w:hAnsi="Times New Roman" w:cs="Times New Roman"/>
          <w:sz w:val="24"/>
          <w:szCs w:val="24"/>
        </w:rPr>
        <w:t>3,5</w:t>
      </w:r>
      <w:r w:rsidR="008A2BE4">
        <w:rPr>
          <w:rFonts w:ascii="Times New Roman" w:hAnsi="Times New Roman" w:cs="Times New Roman"/>
          <w:sz w:val="24"/>
          <w:szCs w:val="24"/>
        </w:rPr>
        <w:t>%</w:t>
      </w:r>
      <w:r w:rsidR="00835E73">
        <w:rPr>
          <w:rFonts w:ascii="Times New Roman" w:hAnsi="Times New Roman" w:cs="Times New Roman"/>
          <w:sz w:val="24"/>
          <w:szCs w:val="24"/>
        </w:rPr>
        <w:t xml:space="preserve"> u odnosu na pret</w:t>
      </w:r>
      <w:r w:rsidR="00AE65AC">
        <w:rPr>
          <w:rFonts w:ascii="Times New Roman" w:hAnsi="Times New Roman" w:cs="Times New Roman"/>
          <w:sz w:val="24"/>
          <w:szCs w:val="24"/>
        </w:rPr>
        <w:t>hodno usporedivo razdoblje</w:t>
      </w:r>
      <w:r w:rsidR="008A2BE4">
        <w:rPr>
          <w:rFonts w:ascii="Times New Roman" w:hAnsi="Times New Roman" w:cs="Times New Roman"/>
          <w:sz w:val="24"/>
          <w:szCs w:val="24"/>
        </w:rPr>
        <w:t>,a povećanje se odnosi na troškove stručnog usavršavanja radnika.</w:t>
      </w:r>
    </w:p>
    <w:p w:rsidR="0066217F" w:rsidRDefault="0066217F" w:rsidP="006334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="005B46C2">
        <w:rPr>
          <w:rFonts w:ascii="Times New Roman" w:hAnsi="Times New Roman" w:cs="Times New Roman"/>
          <w:sz w:val="24"/>
          <w:szCs w:val="24"/>
        </w:rPr>
        <w:t xml:space="preserve">su </w:t>
      </w:r>
      <w:r w:rsidR="008A2BE4">
        <w:rPr>
          <w:rFonts w:ascii="Times New Roman" w:hAnsi="Times New Roman" w:cs="Times New Roman"/>
          <w:sz w:val="24"/>
          <w:szCs w:val="24"/>
        </w:rPr>
        <w:t xml:space="preserve">povećani za </w:t>
      </w:r>
      <w:r w:rsidR="007528CC">
        <w:rPr>
          <w:rFonts w:ascii="Times New Roman" w:hAnsi="Times New Roman" w:cs="Times New Roman"/>
          <w:sz w:val="24"/>
          <w:szCs w:val="24"/>
        </w:rPr>
        <w:t>21,8%</w:t>
      </w:r>
      <w:r w:rsidR="00CA0512">
        <w:rPr>
          <w:rFonts w:ascii="Times New Roman" w:hAnsi="Times New Roman" w:cs="Times New Roman"/>
          <w:sz w:val="24"/>
          <w:szCs w:val="24"/>
        </w:rPr>
        <w:t xml:space="preserve"> s tim da je najveće povećanje zabilježeno na </w:t>
      </w:r>
      <w:r w:rsidR="00A56B7D">
        <w:rPr>
          <w:rFonts w:ascii="Times New Roman" w:hAnsi="Times New Roman" w:cs="Times New Roman"/>
          <w:sz w:val="24"/>
          <w:szCs w:val="24"/>
        </w:rPr>
        <w:t xml:space="preserve"> troškovi</w:t>
      </w:r>
      <w:r w:rsidR="00CA0512">
        <w:rPr>
          <w:rFonts w:ascii="Times New Roman" w:hAnsi="Times New Roman" w:cs="Times New Roman"/>
          <w:sz w:val="24"/>
          <w:szCs w:val="24"/>
        </w:rPr>
        <w:t xml:space="preserve">ma </w:t>
      </w:r>
      <w:r w:rsidR="007528CC">
        <w:rPr>
          <w:rFonts w:ascii="Times New Roman" w:hAnsi="Times New Roman" w:cs="Times New Roman"/>
          <w:sz w:val="24"/>
          <w:szCs w:val="24"/>
        </w:rPr>
        <w:t xml:space="preserve">uredskog </w:t>
      </w:r>
      <w:r w:rsidR="00A56B7D">
        <w:rPr>
          <w:rFonts w:ascii="Times New Roman" w:hAnsi="Times New Roman" w:cs="Times New Roman"/>
          <w:sz w:val="24"/>
          <w:szCs w:val="24"/>
        </w:rPr>
        <w:t xml:space="preserve"> </w:t>
      </w:r>
      <w:r w:rsidR="00ED4F13">
        <w:rPr>
          <w:rFonts w:ascii="Times New Roman" w:hAnsi="Times New Roman" w:cs="Times New Roman"/>
          <w:sz w:val="24"/>
          <w:szCs w:val="24"/>
        </w:rPr>
        <w:t xml:space="preserve">materijala </w:t>
      </w:r>
      <w:r w:rsidR="007528CC">
        <w:rPr>
          <w:rFonts w:ascii="Times New Roman" w:hAnsi="Times New Roman" w:cs="Times New Roman"/>
          <w:sz w:val="24"/>
          <w:szCs w:val="24"/>
        </w:rPr>
        <w:t>i energije zbog radova na novom terminalu.</w:t>
      </w:r>
    </w:p>
    <w:p w:rsidR="00FD5971" w:rsidRDefault="000E65F1" w:rsidP="006334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usluge iznose </w:t>
      </w:r>
      <w:r w:rsidR="007528CC">
        <w:rPr>
          <w:rFonts w:ascii="Times New Roman" w:hAnsi="Times New Roman" w:cs="Times New Roman"/>
          <w:sz w:val="24"/>
          <w:szCs w:val="24"/>
        </w:rPr>
        <w:t>1.400.569,64</w:t>
      </w:r>
      <w:r w:rsidR="00ED4F13">
        <w:rPr>
          <w:rFonts w:ascii="Times New Roman" w:hAnsi="Times New Roman" w:cs="Times New Roman"/>
          <w:sz w:val="24"/>
          <w:szCs w:val="24"/>
        </w:rPr>
        <w:t xml:space="preserve"> EUR i </w:t>
      </w:r>
      <w:r w:rsidR="007528CC">
        <w:rPr>
          <w:rFonts w:ascii="Times New Roman" w:hAnsi="Times New Roman" w:cs="Times New Roman"/>
          <w:sz w:val="24"/>
          <w:szCs w:val="24"/>
        </w:rPr>
        <w:t xml:space="preserve">viši </w:t>
      </w:r>
      <w:r w:rsidR="00ED4F13">
        <w:rPr>
          <w:rFonts w:ascii="Times New Roman" w:hAnsi="Times New Roman" w:cs="Times New Roman"/>
          <w:sz w:val="24"/>
          <w:szCs w:val="24"/>
        </w:rPr>
        <w:t xml:space="preserve">su za </w:t>
      </w:r>
      <w:r w:rsidR="007528CC">
        <w:rPr>
          <w:rFonts w:ascii="Times New Roman" w:hAnsi="Times New Roman" w:cs="Times New Roman"/>
          <w:sz w:val="24"/>
          <w:szCs w:val="24"/>
        </w:rPr>
        <w:t>93,7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75186">
        <w:rPr>
          <w:rFonts w:ascii="Times New Roman" w:hAnsi="Times New Roman" w:cs="Times New Roman"/>
          <w:sz w:val="24"/>
          <w:szCs w:val="24"/>
        </w:rPr>
        <w:t xml:space="preserve">u </w:t>
      </w:r>
      <w:r w:rsidR="00A47738">
        <w:rPr>
          <w:rFonts w:ascii="Times New Roman" w:hAnsi="Times New Roman" w:cs="Times New Roman"/>
          <w:sz w:val="24"/>
          <w:szCs w:val="24"/>
        </w:rPr>
        <w:t>odnosu na prethodno usporedivo razdoblj</w:t>
      </w:r>
      <w:r w:rsidR="00ED4F13">
        <w:rPr>
          <w:rFonts w:ascii="Times New Roman" w:hAnsi="Times New Roman" w:cs="Times New Roman"/>
          <w:sz w:val="24"/>
          <w:szCs w:val="24"/>
        </w:rPr>
        <w:t xml:space="preserve">e. </w:t>
      </w:r>
      <w:r w:rsidR="00F23C63">
        <w:rPr>
          <w:rFonts w:ascii="Times New Roman" w:hAnsi="Times New Roman" w:cs="Times New Roman"/>
          <w:sz w:val="24"/>
          <w:szCs w:val="24"/>
        </w:rPr>
        <w:t>Usluge</w:t>
      </w:r>
      <w:r w:rsidR="00ED4F13">
        <w:rPr>
          <w:rFonts w:ascii="Times New Roman" w:hAnsi="Times New Roman" w:cs="Times New Roman"/>
          <w:sz w:val="24"/>
          <w:szCs w:val="24"/>
        </w:rPr>
        <w:t xml:space="preserve"> investicijskog i tekućeg održavanja iznose </w:t>
      </w:r>
      <w:r w:rsidR="00E50A3A">
        <w:rPr>
          <w:rFonts w:ascii="Times New Roman" w:hAnsi="Times New Roman" w:cs="Times New Roman"/>
          <w:sz w:val="24"/>
          <w:szCs w:val="24"/>
        </w:rPr>
        <w:t>969.133,02</w:t>
      </w:r>
      <w:r w:rsidR="00ED4F13">
        <w:rPr>
          <w:rFonts w:ascii="Times New Roman" w:hAnsi="Times New Roman" w:cs="Times New Roman"/>
          <w:sz w:val="24"/>
          <w:szCs w:val="24"/>
        </w:rPr>
        <w:t>EUR</w:t>
      </w:r>
      <w:r w:rsidR="00CA0512">
        <w:rPr>
          <w:rFonts w:ascii="Times New Roman" w:hAnsi="Times New Roman" w:cs="Times New Roman"/>
          <w:sz w:val="24"/>
          <w:szCs w:val="24"/>
        </w:rPr>
        <w:t xml:space="preserve"> </w:t>
      </w:r>
      <w:r w:rsidR="007C7326">
        <w:rPr>
          <w:rFonts w:ascii="Times New Roman" w:hAnsi="Times New Roman" w:cs="Times New Roman"/>
          <w:sz w:val="24"/>
          <w:szCs w:val="24"/>
        </w:rPr>
        <w:t>a sastoje se od</w:t>
      </w:r>
      <w:r w:rsidR="002F61C1">
        <w:rPr>
          <w:rFonts w:ascii="Times New Roman" w:hAnsi="Times New Roman" w:cs="Times New Roman"/>
          <w:sz w:val="24"/>
          <w:szCs w:val="24"/>
        </w:rPr>
        <w:t xml:space="preserve">: </w:t>
      </w:r>
      <w:r w:rsidR="00967F00">
        <w:rPr>
          <w:rFonts w:ascii="Times New Roman" w:hAnsi="Times New Roman" w:cs="Times New Roman"/>
          <w:sz w:val="24"/>
          <w:szCs w:val="24"/>
        </w:rPr>
        <w:t>usluga</w:t>
      </w:r>
      <w:r w:rsidR="002F61C1">
        <w:rPr>
          <w:rFonts w:ascii="Times New Roman" w:hAnsi="Times New Roman" w:cs="Times New Roman"/>
          <w:sz w:val="24"/>
          <w:szCs w:val="24"/>
        </w:rPr>
        <w:t xml:space="preserve"> </w:t>
      </w:r>
      <w:r w:rsidR="00453BCB">
        <w:rPr>
          <w:rFonts w:ascii="Times New Roman" w:hAnsi="Times New Roman" w:cs="Times New Roman"/>
          <w:sz w:val="24"/>
          <w:szCs w:val="24"/>
        </w:rPr>
        <w:t xml:space="preserve">investicijskog održavanja građevinskih objekata u iznosu od </w:t>
      </w:r>
      <w:r w:rsidR="001E18F6">
        <w:rPr>
          <w:rFonts w:ascii="Times New Roman" w:hAnsi="Times New Roman" w:cs="Times New Roman"/>
          <w:sz w:val="24"/>
          <w:szCs w:val="24"/>
        </w:rPr>
        <w:t>399.708,13</w:t>
      </w:r>
      <w:r w:rsidR="00453BCB">
        <w:rPr>
          <w:rFonts w:ascii="Times New Roman" w:hAnsi="Times New Roman" w:cs="Times New Roman"/>
          <w:sz w:val="24"/>
          <w:szCs w:val="24"/>
        </w:rPr>
        <w:t xml:space="preserve"> EUR</w:t>
      </w:r>
      <w:r w:rsidR="007C7326">
        <w:rPr>
          <w:rFonts w:ascii="Times New Roman" w:hAnsi="Times New Roman" w:cs="Times New Roman"/>
          <w:sz w:val="24"/>
          <w:szCs w:val="24"/>
        </w:rPr>
        <w:t>, koju</w:t>
      </w:r>
      <w:r w:rsidR="002F61C1">
        <w:rPr>
          <w:rFonts w:ascii="Times New Roman" w:hAnsi="Times New Roman" w:cs="Times New Roman"/>
          <w:sz w:val="24"/>
          <w:szCs w:val="24"/>
        </w:rPr>
        <w:t xml:space="preserve"> čine</w:t>
      </w:r>
      <w:r w:rsidR="0031253E" w:rsidRPr="0031253E">
        <w:t xml:space="preserve"> </w:t>
      </w:r>
      <w:r w:rsidR="0031253E">
        <w:rPr>
          <w:rFonts w:ascii="Times New Roman" w:hAnsi="Times New Roman" w:cs="Times New Roman"/>
          <w:sz w:val="24"/>
          <w:szCs w:val="24"/>
        </w:rPr>
        <w:t>radovi</w:t>
      </w:r>
      <w:r w:rsidR="0031253E" w:rsidRPr="0031253E">
        <w:rPr>
          <w:rFonts w:ascii="Times New Roman" w:hAnsi="Times New Roman" w:cs="Times New Roman"/>
          <w:sz w:val="24"/>
          <w:szCs w:val="24"/>
        </w:rPr>
        <w:t xml:space="preserve"> na </w:t>
      </w:r>
      <w:r w:rsidR="00864E52">
        <w:rPr>
          <w:rFonts w:ascii="Times New Roman" w:hAnsi="Times New Roman" w:cs="Times New Roman"/>
          <w:sz w:val="24"/>
          <w:szCs w:val="24"/>
        </w:rPr>
        <w:t xml:space="preserve"> kod </w:t>
      </w:r>
      <w:r w:rsidR="0031253E" w:rsidRPr="0031253E">
        <w:rPr>
          <w:rFonts w:ascii="Times New Roman" w:hAnsi="Times New Roman" w:cs="Times New Roman"/>
          <w:sz w:val="24"/>
          <w:szCs w:val="24"/>
        </w:rPr>
        <w:t>kranskih staza u T.C. sv. Juraj</w:t>
      </w:r>
      <w:r w:rsidR="0031253E">
        <w:rPr>
          <w:rFonts w:ascii="Times New Roman" w:hAnsi="Times New Roman" w:cs="Times New Roman"/>
          <w:sz w:val="24"/>
          <w:szCs w:val="24"/>
        </w:rPr>
        <w:t>,</w:t>
      </w:r>
      <w:r w:rsidR="002F61C1">
        <w:rPr>
          <w:rFonts w:ascii="Times New Roman" w:hAnsi="Times New Roman" w:cs="Times New Roman"/>
          <w:sz w:val="24"/>
          <w:szCs w:val="24"/>
        </w:rPr>
        <w:t xml:space="preserve"> </w:t>
      </w:r>
      <w:r w:rsidR="0031253E" w:rsidRPr="0031253E">
        <w:rPr>
          <w:rFonts w:ascii="Times New Roman" w:hAnsi="Times New Roman" w:cs="Times New Roman"/>
          <w:sz w:val="24"/>
          <w:szCs w:val="24"/>
        </w:rPr>
        <w:t>čišćenju (održavanju) ventilacijskog sustava u zgradi PPT-a</w:t>
      </w:r>
      <w:r w:rsidR="00FC6A61">
        <w:rPr>
          <w:rFonts w:ascii="Times New Roman" w:hAnsi="Times New Roman" w:cs="Times New Roman"/>
          <w:sz w:val="24"/>
          <w:szCs w:val="24"/>
        </w:rPr>
        <w:t>,</w:t>
      </w:r>
      <w:r w:rsidR="0031253E" w:rsidRPr="0031253E">
        <w:rPr>
          <w:rFonts w:ascii="Times New Roman" w:hAnsi="Times New Roman" w:cs="Times New Roman"/>
          <w:sz w:val="24"/>
          <w:szCs w:val="24"/>
        </w:rPr>
        <w:t xml:space="preserve"> </w:t>
      </w:r>
      <w:r w:rsidR="002F61C1">
        <w:rPr>
          <w:rFonts w:ascii="Times New Roman" w:hAnsi="Times New Roman" w:cs="Times New Roman"/>
          <w:sz w:val="24"/>
          <w:szCs w:val="24"/>
        </w:rPr>
        <w:t xml:space="preserve">izrada tehničkog  elaborata sanacije oštećenja obalnog zida vez 10 te troškovnika pripremnih radova  </w:t>
      </w:r>
      <w:r w:rsidR="00CA0512">
        <w:rPr>
          <w:rFonts w:ascii="Times New Roman" w:hAnsi="Times New Roman" w:cs="Times New Roman"/>
          <w:sz w:val="24"/>
          <w:szCs w:val="24"/>
        </w:rPr>
        <w:t xml:space="preserve"> </w:t>
      </w:r>
      <w:r w:rsidR="002F61C1">
        <w:rPr>
          <w:rFonts w:ascii="Times New Roman" w:hAnsi="Times New Roman" w:cs="Times New Roman"/>
          <w:sz w:val="24"/>
          <w:szCs w:val="24"/>
        </w:rPr>
        <w:t>rekonstrukcije veza 6 i 7.</w:t>
      </w:r>
      <w:r w:rsidR="001E18F6">
        <w:rPr>
          <w:rFonts w:ascii="Times New Roman" w:hAnsi="Times New Roman" w:cs="Times New Roman"/>
          <w:sz w:val="24"/>
          <w:szCs w:val="24"/>
        </w:rPr>
        <w:t>,</w:t>
      </w:r>
      <w:r w:rsidR="001E18F6" w:rsidRPr="001E18F6">
        <w:t xml:space="preserve"> </w:t>
      </w:r>
      <w:r w:rsidR="001E18F6">
        <w:t>k</w:t>
      </w:r>
      <w:r w:rsidR="001E18F6" w:rsidRPr="001E18F6">
        <w:rPr>
          <w:rFonts w:ascii="Times New Roman" w:hAnsi="Times New Roman" w:cs="Times New Roman"/>
          <w:sz w:val="24"/>
          <w:szCs w:val="24"/>
        </w:rPr>
        <w:t>olničke konstrukcije na vezu br. 2 u Sjevernoj luci Split</w:t>
      </w:r>
      <w:r w:rsidR="001E18F6">
        <w:rPr>
          <w:rFonts w:ascii="Times New Roman" w:hAnsi="Times New Roman" w:cs="Times New Roman"/>
          <w:sz w:val="24"/>
          <w:szCs w:val="24"/>
        </w:rPr>
        <w:t xml:space="preserve"> </w:t>
      </w:r>
      <w:r w:rsidR="00F23C63">
        <w:rPr>
          <w:rFonts w:ascii="Times New Roman" w:hAnsi="Times New Roman" w:cs="Times New Roman"/>
          <w:sz w:val="24"/>
          <w:szCs w:val="24"/>
        </w:rPr>
        <w:t xml:space="preserve"> Usluge </w:t>
      </w:r>
      <w:r w:rsidR="002F61C1">
        <w:rPr>
          <w:rFonts w:ascii="Times New Roman" w:hAnsi="Times New Roman" w:cs="Times New Roman"/>
          <w:sz w:val="24"/>
          <w:szCs w:val="24"/>
        </w:rPr>
        <w:t xml:space="preserve"> investicijskog održavanja postrojenja i opreme</w:t>
      </w:r>
      <w:r w:rsidR="007C7326">
        <w:rPr>
          <w:rFonts w:ascii="Times New Roman" w:hAnsi="Times New Roman" w:cs="Times New Roman"/>
          <w:sz w:val="24"/>
          <w:szCs w:val="24"/>
        </w:rPr>
        <w:t xml:space="preserve"> su </w:t>
      </w:r>
      <w:r w:rsidR="002F61C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E18F6">
        <w:rPr>
          <w:rFonts w:ascii="Times New Roman" w:hAnsi="Times New Roman" w:cs="Times New Roman"/>
          <w:sz w:val="24"/>
          <w:szCs w:val="24"/>
        </w:rPr>
        <w:t xml:space="preserve">75.550,99 </w:t>
      </w:r>
      <w:r w:rsidR="002F61C1">
        <w:rPr>
          <w:rFonts w:ascii="Times New Roman" w:hAnsi="Times New Roman" w:cs="Times New Roman"/>
          <w:sz w:val="24"/>
          <w:szCs w:val="24"/>
        </w:rPr>
        <w:t xml:space="preserve">EUR, a sastoje </w:t>
      </w:r>
      <w:r w:rsidR="007C7326">
        <w:rPr>
          <w:rFonts w:ascii="Times New Roman" w:hAnsi="Times New Roman" w:cs="Times New Roman"/>
          <w:sz w:val="24"/>
          <w:szCs w:val="24"/>
        </w:rPr>
        <w:t xml:space="preserve">se </w:t>
      </w:r>
      <w:r w:rsidR="002F61C1">
        <w:rPr>
          <w:rFonts w:ascii="Times New Roman" w:hAnsi="Times New Roman" w:cs="Times New Roman"/>
          <w:sz w:val="24"/>
          <w:szCs w:val="24"/>
        </w:rPr>
        <w:t>od bravarskih radova, popravaka prijelazne skale u TC sv K</w:t>
      </w:r>
      <w:r w:rsidR="00967F00">
        <w:rPr>
          <w:rFonts w:ascii="Times New Roman" w:hAnsi="Times New Roman" w:cs="Times New Roman"/>
          <w:sz w:val="24"/>
          <w:szCs w:val="24"/>
        </w:rPr>
        <w:t>ajo, popravaka</w:t>
      </w:r>
      <w:r w:rsidR="002F61C1">
        <w:rPr>
          <w:rFonts w:ascii="Times New Roman" w:hAnsi="Times New Roman" w:cs="Times New Roman"/>
          <w:sz w:val="24"/>
          <w:szCs w:val="24"/>
        </w:rPr>
        <w:t xml:space="preserve"> metalnih poklopaca za instalacijske kanale u gradskoj luci</w:t>
      </w:r>
      <w:r w:rsidR="00967F00">
        <w:rPr>
          <w:rFonts w:ascii="Times New Roman" w:hAnsi="Times New Roman" w:cs="Times New Roman"/>
          <w:sz w:val="24"/>
          <w:szCs w:val="24"/>
        </w:rPr>
        <w:t xml:space="preserve"> te </w:t>
      </w:r>
      <w:r w:rsidR="002F61C1">
        <w:rPr>
          <w:rFonts w:ascii="Times New Roman" w:hAnsi="Times New Roman" w:cs="Times New Roman"/>
          <w:sz w:val="24"/>
          <w:szCs w:val="24"/>
        </w:rPr>
        <w:t xml:space="preserve"> podvodno</w:t>
      </w:r>
      <w:r w:rsidR="00967F00">
        <w:rPr>
          <w:rFonts w:ascii="Times New Roman" w:hAnsi="Times New Roman" w:cs="Times New Roman"/>
          <w:sz w:val="24"/>
          <w:szCs w:val="24"/>
        </w:rPr>
        <w:t xml:space="preserve">g snimanja i popravaka </w:t>
      </w:r>
      <w:r w:rsidR="002F61C1">
        <w:rPr>
          <w:rFonts w:ascii="Times New Roman" w:hAnsi="Times New Roman" w:cs="Times New Roman"/>
          <w:sz w:val="24"/>
          <w:szCs w:val="24"/>
        </w:rPr>
        <w:t xml:space="preserve"> pontona u luci Resnik.</w:t>
      </w:r>
      <w:r w:rsidR="00EF0428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F23C63">
        <w:rPr>
          <w:rFonts w:ascii="Times New Roman" w:hAnsi="Times New Roman" w:cs="Times New Roman"/>
          <w:sz w:val="24"/>
          <w:szCs w:val="24"/>
        </w:rPr>
        <w:t>Usluge</w:t>
      </w:r>
      <w:r w:rsidR="00EF0428">
        <w:rPr>
          <w:rFonts w:ascii="Times New Roman" w:hAnsi="Times New Roman" w:cs="Times New Roman"/>
          <w:sz w:val="24"/>
          <w:szCs w:val="24"/>
        </w:rPr>
        <w:t xml:space="preserve"> investicijskog održavanja prijevoznih sredstava</w:t>
      </w:r>
      <w:r w:rsidR="00BB089F">
        <w:rPr>
          <w:rFonts w:ascii="Times New Roman" w:hAnsi="Times New Roman" w:cs="Times New Roman"/>
          <w:sz w:val="24"/>
          <w:szCs w:val="24"/>
        </w:rPr>
        <w:t xml:space="preserve"> su </w:t>
      </w:r>
      <w:r w:rsidR="00EF0428">
        <w:rPr>
          <w:rFonts w:ascii="Times New Roman" w:hAnsi="Times New Roman" w:cs="Times New Roman"/>
          <w:sz w:val="24"/>
          <w:szCs w:val="24"/>
        </w:rPr>
        <w:t xml:space="preserve"> u iznosu od 1</w:t>
      </w:r>
      <w:r w:rsidR="001E18F6">
        <w:rPr>
          <w:rFonts w:ascii="Times New Roman" w:hAnsi="Times New Roman" w:cs="Times New Roman"/>
          <w:sz w:val="24"/>
          <w:szCs w:val="24"/>
        </w:rPr>
        <w:t>1</w:t>
      </w:r>
      <w:r w:rsidR="00EF0428">
        <w:rPr>
          <w:rFonts w:ascii="Times New Roman" w:hAnsi="Times New Roman" w:cs="Times New Roman"/>
          <w:sz w:val="24"/>
          <w:szCs w:val="24"/>
        </w:rPr>
        <w:t>.</w:t>
      </w:r>
      <w:r w:rsidR="001E18F6">
        <w:rPr>
          <w:rFonts w:ascii="Times New Roman" w:hAnsi="Times New Roman" w:cs="Times New Roman"/>
          <w:sz w:val="24"/>
          <w:szCs w:val="24"/>
        </w:rPr>
        <w:t>142,83</w:t>
      </w:r>
      <w:r w:rsidR="00EF0428">
        <w:rPr>
          <w:rFonts w:ascii="Times New Roman" w:hAnsi="Times New Roman" w:cs="Times New Roman"/>
          <w:sz w:val="24"/>
          <w:szCs w:val="24"/>
        </w:rPr>
        <w:t xml:space="preserve"> EUR. O</w:t>
      </w:r>
      <w:r w:rsidR="00F23C63">
        <w:rPr>
          <w:rFonts w:ascii="Times New Roman" w:hAnsi="Times New Roman" w:cs="Times New Roman"/>
          <w:sz w:val="24"/>
          <w:szCs w:val="24"/>
        </w:rPr>
        <w:t>stale</w:t>
      </w:r>
      <w:r w:rsid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F23C63">
        <w:rPr>
          <w:rFonts w:ascii="Times New Roman" w:hAnsi="Times New Roman" w:cs="Times New Roman"/>
          <w:sz w:val="24"/>
          <w:szCs w:val="24"/>
        </w:rPr>
        <w:t>usluge</w:t>
      </w:r>
      <w:r w:rsidR="00EF0428">
        <w:rPr>
          <w:rFonts w:ascii="Times New Roman" w:hAnsi="Times New Roman" w:cs="Times New Roman"/>
          <w:sz w:val="24"/>
          <w:szCs w:val="24"/>
        </w:rPr>
        <w:t xml:space="preserve"> investicijskog održavanja </w:t>
      </w:r>
      <w:r w:rsidR="007C7326">
        <w:rPr>
          <w:rFonts w:ascii="Times New Roman" w:hAnsi="Times New Roman" w:cs="Times New Roman"/>
          <w:sz w:val="24"/>
          <w:szCs w:val="24"/>
        </w:rPr>
        <w:t xml:space="preserve">su </w:t>
      </w:r>
      <w:r w:rsidR="00EF0428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E18F6">
        <w:rPr>
          <w:rFonts w:ascii="Times New Roman" w:hAnsi="Times New Roman" w:cs="Times New Roman"/>
          <w:sz w:val="24"/>
          <w:szCs w:val="24"/>
        </w:rPr>
        <w:t>482.731,07</w:t>
      </w:r>
      <w:r w:rsidR="00F23C63">
        <w:rPr>
          <w:rFonts w:ascii="Times New Roman" w:hAnsi="Times New Roman" w:cs="Times New Roman"/>
          <w:sz w:val="24"/>
          <w:szCs w:val="24"/>
        </w:rPr>
        <w:t xml:space="preserve"> EUR</w:t>
      </w:r>
      <w:r w:rsidR="00BB089F">
        <w:rPr>
          <w:rFonts w:ascii="Times New Roman" w:hAnsi="Times New Roman" w:cs="Times New Roman"/>
          <w:sz w:val="24"/>
          <w:szCs w:val="24"/>
        </w:rPr>
        <w:t xml:space="preserve">, </w:t>
      </w:r>
      <w:r w:rsidR="00F23C63">
        <w:rPr>
          <w:rFonts w:ascii="Times New Roman" w:hAnsi="Times New Roman" w:cs="Times New Roman"/>
          <w:sz w:val="24"/>
          <w:szCs w:val="24"/>
        </w:rPr>
        <w:t xml:space="preserve"> </w:t>
      </w:r>
      <w:r w:rsidR="007C7326">
        <w:rPr>
          <w:rFonts w:ascii="Times New Roman" w:hAnsi="Times New Roman" w:cs="Times New Roman"/>
          <w:sz w:val="24"/>
          <w:szCs w:val="24"/>
        </w:rPr>
        <w:t xml:space="preserve">a </w:t>
      </w:r>
      <w:r w:rsidR="00F23C63">
        <w:rPr>
          <w:rFonts w:ascii="Times New Roman" w:hAnsi="Times New Roman" w:cs="Times New Roman"/>
          <w:sz w:val="24"/>
          <w:szCs w:val="24"/>
        </w:rPr>
        <w:t xml:space="preserve">sastoje se od usluga </w:t>
      </w:r>
      <w:r w:rsidR="00EF0428">
        <w:rPr>
          <w:rFonts w:ascii="Times New Roman" w:hAnsi="Times New Roman" w:cs="Times New Roman"/>
          <w:sz w:val="24"/>
          <w:szCs w:val="24"/>
        </w:rPr>
        <w:t>sa</w:t>
      </w:r>
      <w:r w:rsidR="00F23C63">
        <w:rPr>
          <w:rFonts w:ascii="Times New Roman" w:hAnsi="Times New Roman" w:cs="Times New Roman"/>
          <w:sz w:val="24"/>
          <w:szCs w:val="24"/>
        </w:rPr>
        <w:t>nacija operativnih površina u g</w:t>
      </w:r>
      <w:r w:rsidR="00EF0428">
        <w:rPr>
          <w:rFonts w:ascii="Times New Roman" w:hAnsi="Times New Roman" w:cs="Times New Roman"/>
          <w:sz w:val="24"/>
          <w:szCs w:val="24"/>
        </w:rPr>
        <w:t>r</w:t>
      </w:r>
      <w:r w:rsidR="00F23C63">
        <w:rPr>
          <w:rFonts w:ascii="Times New Roman" w:hAnsi="Times New Roman" w:cs="Times New Roman"/>
          <w:sz w:val="24"/>
          <w:szCs w:val="24"/>
        </w:rPr>
        <w:t xml:space="preserve">adskoj luci, </w:t>
      </w:r>
      <w:r w:rsidR="001E18F6" w:rsidRPr="001E18F6">
        <w:rPr>
          <w:rFonts w:ascii="Times New Roman" w:hAnsi="Times New Roman" w:cs="Times New Roman"/>
          <w:sz w:val="24"/>
          <w:szCs w:val="24"/>
        </w:rPr>
        <w:t xml:space="preserve"> podmorskog dijela obalnih zidova u Gradskoj luci Split</w:t>
      </w:r>
      <w:r w:rsidR="00F23C63">
        <w:rPr>
          <w:rFonts w:ascii="Times New Roman" w:hAnsi="Times New Roman" w:cs="Times New Roman"/>
          <w:sz w:val="24"/>
          <w:szCs w:val="24"/>
        </w:rPr>
        <w:t xml:space="preserve"> </w:t>
      </w:r>
      <w:r w:rsidR="001B53AA">
        <w:rPr>
          <w:rFonts w:ascii="Times New Roman" w:hAnsi="Times New Roman" w:cs="Times New Roman"/>
          <w:sz w:val="24"/>
          <w:szCs w:val="24"/>
        </w:rPr>
        <w:t>zaštite od požara</w:t>
      </w:r>
      <w:r w:rsidR="00F23C63">
        <w:rPr>
          <w:rFonts w:ascii="Times New Roman" w:hAnsi="Times New Roman" w:cs="Times New Roman"/>
          <w:sz w:val="24"/>
          <w:szCs w:val="24"/>
        </w:rPr>
        <w:t>, održavanja zelenih površina, mobilnih ograda, održavanja informacijskog sustava</w:t>
      </w:r>
      <w:r w:rsidR="001B53AA">
        <w:rPr>
          <w:rFonts w:ascii="Times New Roman" w:hAnsi="Times New Roman" w:cs="Times New Roman"/>
          <w:sz w:val="24"/>
          <w:szCs w:val="24"/>
        </w:rPr>
        <w:t>, usluga kamion dizalica, održavanja aplikacija i ostalih sličnih usluga.</w:t>
      </w:r>
    </w:p>
    <w:p w:rsidR="00AE679A" w:rsidRDefault="00D75186" w:rsidP="006334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Intelektualne i osobne usluge iznose </w:t>
      </w:r>
      <w:r w:rsidR="00A02D53">
        <w:rPr>
          <w:rFonts w:ascii="Times New Roman" w:hAnsi="Times New Roman" w:cs="Times New Roman"/>
          <w:sz w:val="24"/>
          <w:szCs w:val="24"/>
        </w:rPr>
        <w:t>70.880,66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276985">
        <w:rPr>
          <w:rFonts w:ascii="Times New Roman" w:hAnsi="Times New Roman" w:cs="Times New Roman"/>
          <w:sz w:val="24"/>
          <w:szCs w:val="24"/>
        </w:rPr>
        <w:t>a sastoje se od usluga</w:t>
      </w:r>
      <w:r w:rsidR="005C76D0">
        <w:rPr>
          <w:rFonts w:ascii="Times New Roman" w:hAnsi="Times New Roman" w:cs="Times New Roman"/>
          <w:sz w:val="24"/>
          <w:szCs w:val="24"/>
        </w:rPr>
        <w:t xml:space="preserve"> student servisa kao ispomoć lučkim redarima u gradskoj luci</w:t>
      </w:r>
      <w:r w:rsidR="00A02D53">
        <w:rPr>
          <w:rFonts w:ascii="Times New Roman" w:hAnsi="Times New Roman" w:cs="Times New Roman"/>
          <w:sz w:val="24"/>
          <w:szCs w:val="24"/>
        </w:rPr>
        <w:t>,</w:t>
      </w:r>
      <w:r w:rsidR="00276985">
        <w:rPr>
          <w:rFonts w:ascii="Times New Roman" w:hAnsi="Times New Roman" w:cs="Times New Roman"/>
          <w:sz w:val="24"/>
          <w:szCs w:val="24"/>
        </w:rPr>
        <w:t xml:space="preserve"> </w:t>
      </w:r>
      <w:r w:rsidR="005C76D0">
        <w:rPr>
          <w:rFonts w:ascii="Times New Roman" w:hAnsi="Times New Roman" w:cs="Times New Roman"/>
          <w:sz w:val="24"/>
          <w:szCs w:val="24"/>
        </w:rPr>
        <w:t>o</w:t>
      </w:r>
      <w:r w:rsidR="00AE679A">
        <w:rPr>
          <w:rFonts w:ascii="Times New Roman" w:hAnsi="Times New Roman" w:cs="Times New Roman"/>
          <w:sz w:val="24"/>
          <w:szCs w:val="24"/>
        </w:rPr>
        <w:t>dvjetničkih usluga, geodetskih  usluga</w:t>
      </w:r>
      <w:r w:rsidR="00276985">
        <w:rPr>
          <w:rFonts w:ascii="Times New Roman" w:hAnsi="Times New Roman" w:cs="Times New Roman"/>
          <w:sz w:val="24"/>
          <w:szCs w:val="24"/>
        </w:rPr>
        <w:t xml:space="preserve"> od 4.087,50 EUR, </w:t>
      </w:r>
      <w:r w:rsidR="00AE679A">
        <w:rPr>
          <w:rFonts w:ascii="Times New Roman" w:hAnsi="Times New Roman" w:cs="Times New Roman"/>
          <w:sz w:val="24"/>
          <w:szCs w:val="24"/>
        </w:rPr>
        <w:t xml:space="preserve">usluga </w:t>
      </w:r>
      <w:r w:rsidR="009C1EC6">
        <w:rPr>
          <w:rFonts w:ascii="Times New Roman" w:hAnsi="Times New Roman" w:cs="Times New Roman"/>
          <w:sz w:val="24"/>
          <w:szCs w:val="24"/>
        </w:rPr>
        <w:t xml:space="preserve"> </w:t>
      </w:r>
      <w:r w:rsidR="00AE679A">
        <w:rPr>
          <w:rFonts w:ascii="Times New Roman" w:hAnsi="Times New Roman" w:cs="Times New Roman"/>
          <w:sz w:val="24"/>
          <w:szCs w:val="24"/>
        </w:rPr>
        <w:t xml:space="preserve">sigurnosnog savjetovanja od 4.708,32 </w:t>
      </w:r>
      <w:r w:rsidR="00525DF2">
        <w:rPr>
          <w:rFonts w:ascii="Times New Roman" w:hAnsi="Times New Roman" w:cs="Times New Roman"/>
          <w:sz w:val="24"/>
          <w:szCs w:val="24"/>
        </w:rPr>
        <w:t>EUR</w:t>
      </w:r>
      <w:r w:rsidR="00AE679A">
        <w:rPr>
          <w:rFonts w:ascii="Times New Roman" w:hAnsi="Times New Roman" w:cs="Times New Roman"/>
          <w:sz w:val="24"/>
          <w:szCs w:val="24"/>
        </w:rPr>
        <w:t>, izvještaja o iz</w:t>
      </w:r>
      <w:r w:rsidR="00A02D53">
        <w:rPr>
          <w:rFonts w:ascii="Times New Roman" w:hAnsi="Times New Roman" w:cs="Times New Roman"/>
          <w:sz w:val="24"/>
          <w:szCs w:val="24"/>
        </w:rPr>
        <w:t>mjerama visina mora i valova,</w:t>
      </w:r>
      <w:r w:rsidR="00AE679A">
        <w:rPr>
          <w:rFonts w:ascii="Times New Roman" w:hAnsi="Times New Roman" w:cs="Times New Roman"/>
          <w:sz w:val="24"/>
          <w:szCs w:val="24"/>
        </w:rPr>
        <w:t xml:space="preserve"> konzultantskih  usluga za promidžbu i vidljivost </w:t>
      </w:r>
      <w:r w:rsidR="00A02D53">
        <w:rPr>
          <w:rFonts w:ascii="Times New Roman" w:hAnsi="Times New Roman" w:cs="Times New Roman"/>
          <w:sz w:val="24"/>
          <w:szCs w:val="24"/>
        </w:rPr>
        <w:t>za projekte.</w:t>
      </w:r>
    </w:p>
    <w:p w:rsidR="0046772E" w:rsidRDefault="00CF7A90" w:rsidP="006334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promidžbe i informiranja se najvećim di</w:t>
      </w:r>
      <w:r w:rsidR="00AC4BDA">
        <w:rPr>
          <w:rFonts w:ascii="Times New Roman" w:hAnsi="Times New Roman" w:cs="Times New Roman"/>
          <w:sz w:val="24"/>
          <w:szCs w:val="24"/>
        </w:rPr>
        <w:t xml:space="preserve">jelom odnose na troškove </w:t>
      </w:r>
      <w:r w:rsidR="00FD5971">
        <w:rPr>
          <w:rFonts w:ascii="Times New Roman" w:hAnsi="Times New Roman" w:cs="Times New Roman"/>
          <w:sz w:val="24"/>
          <w:szCs w:val="24"/>
        </w:rPr>
        <w:t xml:space="preserve"> sajma Medcruise  u SAD-u  te usluga tiska i elektronskih medija</w:t>
      </w:r>
      <w:r w:rsidR="00525DF2">
        <w:rPr>
          <w:rFonts w:ascii="Times New Roman" w:hAnsi="Times New Roman" w:cs="Times New Roman"/>
          <w:sz w:val="24"/>
          <w:szCs w:val="24"/>
        </w:rPr>
        <w:t xml:space="preserve">, a isti </w:t>
      </w:r>
      <w:r w:rsidR="002F2536">
        <w:rPr>
          <w:rFonts w:ascii="Times New Roman" w:hAnsi="Times New Roman" w:cs="Times New Roman"/>
          <w:sz w:val="24"/>
          <w:szCs w:val="24"/>
        </w:rPr>
        <w:t>bilježe porast od 2% u odnosu na prošlo usporedivo razdoblje.</w:t>
      </w:r>
    </w:p>
    <w:p w:rsidR="002F2536" w:rsidRDefault="002F2536" w:rsidP="006334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Komunalne usluge bilježe veliki porast iz razloga povećanja cijena usluga. </w:t>
      </w:r>
    </w:p>
    <w:p w:rsidR="00081F3F" w:rsidRDefault="00081F3F" w:rsidP="00D638B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Računalne usluge se odnose na ažuriranje računalnih baza razvoja softvera </w:t>
      </w:r>
      <w:r w:rsidR="00237E53">
        <w:rPr>
          <w:rFonts w:ascii="Times New Roman" w:hAnsi="Times New Roman" w:cs="Times New Roman"/>
          <w:sz w:val="24"/>
          <w:szCs w:val="24"/>
        </w:rPr>
        <w:t>i</w:t>
      </w:r>
      <w:r w:rsidR="00051C47">
        <w:rPr>
          <w:rFonts w:ascii="Times New Roman" w:hAnsi="Times New Roman" w:cs="Times New Roman"/>
          <w:sz w:val="24"/>
          <w:szCs w:val="24"/>
        </w:rPr>
        <w:t xml:space="preserve"> </w:t>
      </w:r>
      <w:r w:rsidR="00237E53">
        <w:rPr>
          <w:rFonts w:ascii="Times New Roman" w:hAnsi="Times New Roman" w:cs="Times New Roman"/>
          <w:sz w:val="24"/>
          <w:szCs w:val="24"/>
        </w:rPr>
        <w:t>održavanja</w:t>
      </w:r>
      <w:r>
        <w:rPr>
          <w:rFonts w:ascii="Times New Roman" w:hAnsi="Times New Roman" w:cs="Times New Roman"/>
          <w:sz w:val="24"/>
          <w:szCs w:val="24"/>
        </w:rPr>
        <w:t xml:space="preserve"> hardvera</w:t>
      </w:r>
      <w:r w:rsidR="00051C47">
        <w:rPr>
          <w:rFonts w:ascii="Times New Roman" w:hAnsi="Times New Roman" w:cs="Times New Roman"/>
          <w:sz w:val="24"/>
          <w:szCs w:val="24"/>
        </w:rPr>
        <w:t>.</w:t>
      </w:r>
    </w:p>
    <w:p w:rsidR="0012176F" w:rsidRDefault="00063065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usluge u iznosu </w:t>
      </w:r>
      <w:r w:rsidR="00051C47">
        <w:rPr>
          <w:rFonts w:ascii="Times New Roman" w:hAnsi="Times New Roman" w:cs="Times New Roman"/>
          <w:sz w:val="24"/>
          <w:szCs w:val="24"/>
        </w:rPr>
        <w:t xml:space="preserve"> od </w:t>
      </w:r>
      <w:r w:rsidR="00970F97">
        <w:rPr>
          <w:rFonts w:ascii="Times New Roman" w:hAnsi="Times New Roman" w:cs="Times New Roman"/>
          <w:sz w:val="24"/>
          <w:szCs w:val="24"/>
        </w:rPr>
        <w:t>208.547,03</w:t>
      </w:r>
      <w:r w:rsidR="002F2536">
        <w:rPr>
          <w:rFonts w:ascii="Times New Roman" w:hAnsi="Times New Roman" w:cs="Times New Roman"/>
          <w:sz w:val="24"/>
          <w:szCs w:val="24"/>
        </w:rPr>
        <w:t xml:space="preserve"> EUR </w:t>
      </w:r>
      <w:r>
        <w:rPr>
          <w:rFonts w:ascii="Times New Roman" w:hAnsi="Times New Roman" w:cs="Times New Roman"/>
          <w:sz w:val="24"/>
          <w:szCs w:val="24"/>
        </w:rPr>
        <w:t>se najvećim dijelom odnose na usluge čuvan</w:t>
      </w:r>
      <w:r w:rsidR="009D258A">
        <w:rPr>
          <w:rFonts w:ascii="Times New Roman" w:hAnsi="Times New Roman" w:cs="Times New Roman"/>
          <w:sz w:val="24"/>
          <w:szCs w:val="24"/>
        </w:rPr>
        <w:t>ja osoba i imovine</w:t>
      </w:r>
      <w:r w:rsidR="00970F97">
        <w:rPr>
          <w:rFonts w:ascii="Times New Roman" w:hAnsi="Times New Roman" w:cs="Times New Roman"/>
          <w:sz w:val="24"/>
          <w:szCs w:val="24"/>
        </w:rPr>
        <w:t>,</w:t>
      </w:r>
      <w:r w:rsidR="002F2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usluga čišćenja i</w:t>
      </w:r>
      <w:r w:rsidR="002F2536">
        <w:rPr>
          <w:rFonts w:ascii="Times New Roman" w:hAnsi="Times New Roman" w:cs="Times New Roman"/>
          <w:sz w:val="24"/>
          <w:szCs w:val="24"/>
        </w:rPr>
        <w:t xml:space="preserve"> pranja luke i lučkog područja </w:t>
      </w:r>
      <w:r w:rsidR="00970F97">
        <w:rPr>
          <w:rFonts w:ascii="Times New Roman" w:hAnsi="Times New Roman" w:cs="Times New Roman"/>
          <w:sz w:val="24"/>
          <w:szCs w:val="24"/>
        </w:rPr>
        <w:t xml:space="preserve"> te </w:t>
      </w:r>
      <w:r w:rsidR="002F2536">
        <w:rPr>
          <w:rFonts w:ascii="Times New Roman" w:hAnsi="Times New Roman" w:cs="Times New Roman"/>
          <w:sz w:val="24"/>
          <w:szCs w:val="24"/>
        </w:rPr>
        <w:t xml:space="preserve"> troškovi digitalizacije arhiva</w:t>
      </w:r>
      <w:r w:rsidR="00970F97">
        <w:rPr>
          <w:rFonts w:ascii="Times New Roman" w:hAnsi="Times New Roman" w:cs="Times New Roman"/>
          <w:sz w:val="24"/>
          <w:szCs w:val="24"/>
        </w:rPr>
        <w:t>.</w:t>
      </w:r>
    </w:p>
    <w:p w:rsidR="0046772E" w:rsidRPr="004F6DF2" w:rsidRDefault="00C52403" w:rsidP="004214D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nespomenuti rashodi poslovanja</w:t>
      </w:r>
      <w:r w:rsidR="00CD719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465AB">
        <w:rPr>
          <w:rFonts w:ascii="Times New Roman" w:hAnsi="Times New Roman" w:cs="Times New Roman"/>
          <w:sz w:val="24"/>
          <w:szCs w:val="24"/>
        </w:rPr>
        <w:t>79.412,35</w:t>
      </w:r>
      <w:r w:rsidR="00CD7194">
        <w:rPr>
          <w:rFonts w:ascii="Times New Roman" w:hAnsi="Times New Roman" w:cs="Times New Roman"/>
          <w:sz w:val="24"/>
          <w:szCs w:val="24"/>
        </w:rPr>
        <w:t xml:space="preserve"> EUR</w:t>
      </w:r>
      <w:r w:rsidR="007643E0">
        <w:rPr>
          <w:rFonts w:ascii="Times New Roman" w:hAnsi="Times New Roman" w:cs="Times New Roman"/>
          <w:sz w:val="24"/>
          <w:szCs w:val="24"/>
        </w:rPr>
        <w:t>,</w:t>
      </w:r>
      <w:r w:rsidR="009465AB">
        <w:rPr>
          <w:rFonts w:ascii="Times New Roman" w:hAnsi="Times New Roman" w:cs="Times New Roman"/>
          <w:sz w:val="24"/>
          <w:szCs w:val="24"/>
        </w:rPr>
        <w:t xml:space="preserve"> </w:t>
      </w:r>
      <w:r w:rsidR="00A358B5">
        <w:rPr>
          <w:rFonts w:ascii="Times New Roman" w:hAnsi="Times New Roman" w:cs="Times New Roman"/>
          <w:sz w:val="24"/>
          <w:szCs w:val="24"/>
        </w:rPr>
        <w:t xml:space="preserve">bileže značajan porast , 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D7194">
        <w:rPr>
          <w:rFonts w:ascii="Times New Roman" w:hAnsi="Times New Roman" w:cs="Times New Roman"/>
          <w:sz w:val="24"/>
          <w:szCs w:val="24"/>
        </w:rPr>
        <w:t xml:space="preserve">astoje se od </w:t>
      </w:r>
      <w:r>
        <w:rPr>
          <w:rFonts w:ascii="Times New Roman" w:hAnsi="Times New Roman" w:cs="Times New Roman"/>
          <w:sz w:val="24"/>
          <w:szCs w:val="24"/>
        </w:rPr>
        <w:t xml:space="preserve"> naknade za članove Upravnog vijeća</w:t>
      </w:r>
      <w:r w:rsidR="009465AB">
        <w:rPr>
          <w:rFonts w:ascii="Times New Roman" w:hAnsi="Times New Roman" w:cs="Times New Roman"/>
          <w:sz w:val="24"/>
          <w:szCs w:val="24"/>
        </w:rPr>
        <w:t>,</w:t>
      </w:r>
      <w:r w:rsidR="00C868EF">
        <w:rPr>
          <w:rFonts w:ascii="Times New Roman" w:hAnsi="Times New Roman" w:cs="Times New Roman"/>
          <w:sz w:val="24"/>
          <w:szCs w:val="24"/>
        </w:rPr>
        <w:t xml:space="preserve"> </w:t>
      </w:r>
      <w:r w:rsidR="00CD7194">
        <w:rPr>
          <w:rFonts w:ascii="Times New Roman" w:hAnsi="Times New Roman" w:cs="Times New Roman"/>
          <w:sz w:val="24"/>
          <w:szCs w:val="24"/>
        </w:rPr>
        <w:t>premija</w:t>
      </w:r>
      <w:r w:rsidR="002A3C43">
        <w:rPr>
          <w:rFonts w:ascii="Times New Roman" w:hAnsi="Times New Roman" w:cs="Times New Roman"/>
          <w:sz w:val="24"/>
          <w:szCs w:val="24"/>
        </w:rPr>
        <w:t xml:space="preserve"> osiguranja</w:t>
      </w:r>
      <w:r w:rsidR="007643E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868EF">
        <w:rPr>
          <w:rFonts w:ascii="Times New Roman" w:hAnsi="Times New Roman" w:cs="Times New Roman"/>
          <w:sz w:val="24"/>
          <w:szCs w:val="24"/>
        </w:rPr>
        <w:t xml:space="preserve">23.943,34 </w:t>
      </w:r>
      <w:r w:rsidR="007643E0">
        <w:rPr>
          <w:rFonts w:ascii="Times New Roman" w:hAnsi="Times New Roman" w:cs="Times New Roman"/>
          <w:sz w:val="24"/>
          <w:szCs w:val="24"/>
        </w:rPr>
        <w:t xml:space="preserve">0EUR, </w:t>
      </w:r>
      <w:r w:rsidR="002A3C43">
        <w:rPr>
          <w:rFonts w:ascii="Times New Roman" w:hAnsi="Times New Roman" w:cs="Times New Roman"/>
          <w:sz w:val="24"/>
          <w:szCs w:val="24"/>
        </w:rPr>
        <w:t xml:space="preserve"> </w:t>
      </w:r>
      <w:r w:rsidR="0012176F">
        <w:rPr>
          <w:rFonts w:ascii="Times New Roman" w:hAnsi="Times New Roman" w:cs="Times New Roman"/>
          <w:sz w:val="24"/>
          <w:szCs w:val="24"/>
        </w:rPr>
        <w:t>repr</w:t>
      </w:r>
      <w:r w:rsidR="002A3C43">
        <w:rPr>
          <w:rFonts w:ascii="Times New Roman" w:hAnsi="Times New Roman" w:cs="Times New Roman"/>
          <w:sz w:val="24"/>
          <w:szCs w:val="24"/>
        </w:rPr>
        <w:t>ezentacije</w:t>
      </w:r>
      <w:r w:rsidR="007643E0">
        <w:rPr>
          <w:rFonts w:ascii="Times New Roman" w:hAnsi="Times New Roman" w:cs="Times New Roman"/>
          <w:sz w:val="24"/>
          <w:szCs w:val="24"/>
        </w:rPr>
        <w:t xml:space="preserve"> u iznosu </w:t>
      </w:r>
      <w:r w:rsidR="00C868EF">
        <w:rPr>
          <w:rFonts w:ascii="Times New Roman" w:hAnsi="Times New Roman" w:cs="Times New Roman"/>
          <w:sz w:val="24"/>
          <w:szCs w:val="24"/>
        </w:rPr>
        <w:t>23.282,38 EUR</w:t>
      </w:r>
      <w:r w:rsidR="002A3C43">
        <w:rPr>
          <w:rFonts w:ascii="Times New Roman" w:hAnsi="Times New Roman" w:cs="Times New Roman"/>
          <w:sz w:val="24"/>
          <w:szCs w:val="24"/>
        </w:rPr>
        <w:t xml:space="preserve">, </w:t>
      </w:r>
      <w:r w:rsidR="007643E0">
        <w:rPr>
          <w:rFonts w:ascii="Times New Roman" w:hAnsi="Times New Roman" w:cs="Times New Roman"/>
          <w:sz w:val="24"/>
          <w:szCs w:val="24"/>
        </w:rPr>
        <w:t xml:space="preserve">te </w:t>
      </w:r>
      <w:r w:rsidR="002A3C43">
        <w:rPr>
          <w:rFonts w:ascii="Times New Roman" w:hAnsi="Times New Roman" w:cs="Times New Roman"/>
          <w:sz w:val="24"/>
          <w:szCs w:val="24"/>
        </w:rPr>
        <w:t xml:space="preserve">upravnih pristojbi, članarina i </w:t>
      </w:r>
      <w:r w:rsidR="007643E0">
        <w:rPr>
          <w:rFonts w:ascii="Times New Roman" w:hAnsi="Times New Roman" w:cs="Times New Roman"/>
          <w:sz w:val="24"/>
          <w:szCs w:val="24"/>
        </w:rPr>
        <w:t>sudskih postupaka.</w:t>
      </w: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(34)</w:t>
      </w:r>
    </w:p>
    <w:p w:rsidR="00036DEE" w:rsidRDefault="007D0E40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463562">
        <w:rPr>
          <w:rFonts w:ascii="Times New Roman" w:hAnsi="Times New Roman" w:cs="Times New Roman"/>
          <w:sz w:val="24"/>
          <w:szCs w:val="24"/>
        </w:rPr>
        <w:t xml:space="preserve">se odnose na </w:t>
      </w:r>
      <w:r>
        <w:rPr>
          <w:rFonts w:ascii="Times New Roman" w:hAnsi="Times New Roman" w:cs="Times New Roman"/>
          <w:sz w:val="24"/>
          <w:szCs w:val="24"/>
        </w:rPr>
        <w:t xml:space="preserve"> primljeni zajam od EBRD-a za Projekt obnove infrastrukture luke Split- izgradnja vanj</w:t>
      </w:r>
      <w:r w:rsidR="00CA3B19">
        <w:rPr>
          <w:rFonts w:ascii="Times New Roman" w:hAnsi="Times New Roman" w:cs="Times New Roman"/>
          <w:sz w:val="24"/>
          <w:szCs w:val="24"/>
        </w:rPr>
        <w:t>skih vezova koji je u otplati do</w:t>
      </w:r>
      <w:r w:rsidR="00463562">
        <w:rPr>
          <w:rFonts w:ascii="Times New Roman" w:hAnsi="Times New Roman" w:cs="Times New Roman"/>
          <w:sz w:val="24"/>
          <w:szCs w:val="24"/>
        </w:rPr>
        <w:t xml:space="preserve"> 2028. g</w:t>
      </w:r>
      <w:r w:rsidR="004214D0">
        <w:rPr>
          <w:rFonts w:ascii="Times New Roman" w:hAnsi="Times New Roman" w:cs="Times New Roman"/>
          <w:sz w:val="24"/>
          <w:szCs w:val="24"/>
        </w:rPr>
        <w:t>odine. K</w:t>
      </w:r>
      <w:r w:rsidR="00CA3B19">
        <w:rPr>
          <w:rFonts w:ascii="Times New Roman" w:hAnsi="Times New Roman" w:cs="Times New Roman"/>
          <w:sz w:val="24"/>
          <w:szCs w:val="24"/>
        </w:rPr>
        <w:t>amata se plaća polugodišnje u visini 6M Euribor +1p.p.</w:t>
      </w:r>
    </w:p>
    <w:p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Subvencije </w:t>
      </w:r>
      <w:r w:rsidRPr="00D649D7">
        <w:rPr>
          <w:rFonts w:ascii="Times New Roman" w:hAnsi="Times New Roman" w:cs="Times New Roman"/>
          <w:b/>
          <w:sz w:val="24"/>
          <w:szCs w:val="24"/>
        </w:rPr>
        <w:t>(35)</w:t>
      </w: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(36)</w:t>
      </w:r>
    </w:p>
    <w:p w:rsidR="00680392" w:rsidRPr="00036DEE" w:rsidRDefault="00680392" w:rsidP="00680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Pr="00D649D7">
        <w:rPr>
          <w:rFonts w:ascii="Times New Roman" w:hAnsi="Times New Roman" w:cs="Times New Roman"/>
          <w:b/>
          <w:sz w:val="24"/>
          <w:szCs w:val="24"/>
        </w:rPr>
        <w:t>(37)</w:t>
      </w:r>
    </w:p>
    <w:p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(38)</w:t>
      </w:r>
    </w:p>
    <w:p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(41)</w:t>
      </w:r>
    </w:p>
    <w:p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(42)</w:t>
      </w:r>
    </w:p>
    <w:p w:rsidR="00375EF7" w:rsidRDefault="00911E03" w:rsidP="00F8373E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ostale građevinske objekte </w:t>
      </w:r>
      <w:r w:rsidR="00A23000">
        <w:rPr>
          <w:rFonts w:ascii="Times New Roman" w:hAnsi="Times New Roman" w:cs="Times New Roman"/>
          <w:sz w:val="24"/>
          <w:szCs w:val="24"/>
        </w:rPr>
        <w:t xml:space="preserve">iznose </w:t>
      </w:r>
      <w:r w:rsidR="00E45F46">
        <w:rPr>
          <w:rFonts w:ascii="Times New Roman" w:hAnsi="Times New Roman" w:cs="Times New Roman"/>
          <w:sz w:val="24"/>
          <w:szCs w:val="24"/>
        </w:rPr>
        <w:t>1.746.950,95 EUR</w:t>
      </w:r>
      <w:r w:rsidR="00754EC6">
        <w:rPr>
          <w:rFonts w:ascii="Times New Roman" w:hAnsi="Times New Roman" w:cs="Times New Roman"/>
          <w:sz w:val="24"/>
          <w:szCs w:val="24"/>
        </w:rPr>
        <w:t xml:space="preserve"> i to: </w:t>
      </w:r>
    </w:p>
    <w:p w:rsidR="00036DEE" w:rsidRDefault="00375EF7" w:rsidP="00F8373E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izgradnje novog putničkog terminala, koje je financiranje osigurano iz programa  NPOO i Državnog proračuna. Plaćanje </w:t>
      </w:r>
      <w:r w:rsidR="009B7C3A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privremene situacije izvođaču radova, tvrtki Lavčević inženjering d.o.o. </w:t>
      </w:r>
      <w:r w:rsidR="009B7C3A">
        <w:rPr>
          <w:rFonts w:ascii="Times New Roman" w:hAnsi="Times New Roman" w:cs="Times New Roman"/>
          <w:sz w:val="24"/>
          <w:szCs w:val="24"/>
        </w:rPr>
        <w:t>, nadzoru IGH d.d.u iznosu od 1.154.442,23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9B7C3A">
        <w:rPr>
          <w:rFonts w:ascii="Times New Roman" w:hAnsi="Times New Roman" w:cs="Times New Roman"/>
          <w:sz w:val="24"/>
          <w:szCs w:val="24"/>
        </w:rPr>
        <w:t>.</w:t>
      </w:r>
      <w:r w:rsidR="00754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DF2" w:rsidRDefault="00375EF7" w:rsidP="00F8373E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Okončana situacija za izvođenje radova premještanja postojećih napajanja u Gradskoj luci u iznosu od 63.649,13 EUR u korist Građevno zec d.o.o.</w:t>
      </w:r>
    </w:p>
    <w:p w:rsidR="00B8787A" w:rsidRDefault="00375EF7" w:rsidP="00F8373E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prijave za CEF</w:t>
      </w:r>
      <w:r w:rsidR="005B5714">
        <w:rPr>
          <w:rFonts w:ascii="Times New Roman" w:hAnsi="Times New Roman" w:cs="Times New Roman"/>
          <w:sz w:val="24"/>
          <w:szCs w:val="24"/>
        </w:rPr>
        <w:t xml:space="preserve"> – transport u korist INFRA DAP d.o.o.</w:t>
      </w:r>
      <w:r w:rsidR="00F8373E">
        <w:rPr>
          <w:rFonts w:ascii="Times New Roman" w:hAnsi="Times New Roman" w:cs="Times New Roman"/>
          <w:sz w:val="24"/>
          <w:szCs w:val="24"/>
        </w:rPr>
        <w:t>, k</w:t>
      </w:r>
      <w:r w:rsidR="00B8787A">
        <w:rPr>
          <w:rFonts w:ascii="Times New Roman" w:hAnsi="Times New Roman" w:cs="Times New Roman"/>
          <w:sz w:val="24"/>
          <w:szCs w:val="24"/>
        </w:rPr>
        <w:t>oordinator za za</w:t>
      </w:r>
      <w:r w:rsidR="00B8787A" w:rsidRPr="00B8787A">
        <w:rPr>
          <w:rFonts w:ascii="Times New Roman" w:hAnsi="Times New Roman" w:cs="Times New Roman"/>
          <w:sz w:val="24"/>
          <w:szCs w:val="24"/>
        </w:rPr>
        <w:t>štitu na radu u fazi izvođenja radova - koordinator II na građevini "Sanacija skretnica u Sjevernoj luci Split"</w:t>
      </w:r>
      <w:r w:rsidR="00F8373E">
        <w:rPr>
          <w:rFonts w:ascii="Times New Roman" w:hAnsi="Times New Roman" w:cs="Times New Roman"/>
          <w:sz w:val="24"/>
          <w:szCs w:val="24"/>
        </w:rPr>
        <w:t>, u</w:t>
      </w:r>
      <w:r w:rsidR="00B8787A" w:rsidRPr="00B8787A">
        <w:rPr>
          <w:rFonts w:ascii="Times New Roman" w:hAnsi="Times New Roman" w:cs="Times New Roman"/>
          <w:sz w:val="24"/>
          <w:szCs w:val="24"/>
        </w:rPr>
        <w:t>sluga stručnog nadzora na zamjeni sanaciji skretnica u Sjevernoj luci Split</w:t>
      </w:r>
      <w:r w:rsidR="00F8373E">
        <w:rPr>
          <w:rFonts w:ascii="Times New Roman" w:hAnsi="Times New Roman" w:cs="Times New Roman"/>
          <w:sz w:val="24"/>
          <w:szCs w:val="24"/>
        </w:rPr>
        <w:t>, i</w:t>
      </w:r>
      <w:r w:rsidR="00F8373E">
        <w:rPr>
          <w:rFonts w:ascii="Times New Roman" w:hAnsi="Times New Roman" w:cs="Times New Roman"/>
          <w:sz w:val="24"/>
          <w:szCs w:val="24"/>
        </w:rPr>
        <w:t>zrada obrazaca za CEF-T – Vranjičko solinski bazen</w:t>
      </w:r>
    </w:p>
    <w:p w:rsidR="00A95E12" w:rsidRPr="00036DEE" w:rsidRDefault="00A95E12" w:rsidP="00F8373E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za nova po</w:t>
      </w:r>
      <w:r w:rsidR="00F8373E">
        <w:rPr>
          <w:rFonts w:ascii="Times New Roman" w:hAnsi="Times New Roman" w:cs="Times New Roman"/>
          <w:sz w:val="24"/>
          <w:szCs w:val="24"/>
        </w:rPr>
        <w:t>strojenja i opremu u iznosu od 40.489,39</w:t>
      </w:r>
      <w:r>
        <w:rPr>
          <w:rFonts w:ascii="Times New Roman" w:hAnsi="Times New Roman" w:cs="Times New Roman"/>
          <w:sz w:val="24"/>
          <w:szCs w:val="24"/>
        </w:rPr>
        <w:t xml:space="preserve"> EUR se odnose na uredski namještaj  zbog prenamjene nekoliko ureda u zgradi PPT-a</w:t>
      </w:r>
      <w:r w:rsidR="00E47C98">
        <w:rPr>
          <w:rFonts w:ascii="Times New Roman" w:hAnsi="Times New Roman" w:cs="Times New Roman"/>
          <w:sz w:val="24"/>
          <w:szCs w:val="24"/>
        </w:rPr>
        <w:t xml:space="preserve"> te  komunikacijsku opremu</w:t>
      </w:r>
      <w:bookmarkStart w:id="3" w:name="_GoBack"/>
      <w:bookmarkEnd w:id="3"/>
      <w:r w:rsidR="00E47C98">
        <w:rPr>
          <w:rFonts w:ascii="Times New Roman" w:hAnsi="Times New Roman" w:cs="Times New Roman"/>
          <w:sz w:val="24"/>
          <w:szCs w:val="24"/>
        </w:rPr>
        <w:t>.</w:t>
      </w: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Pr="00D649D7">
        <w:rPr>
          <w:rFonts w:ascii="Times New Roman" w:hAnsi="Times New Roman" w:cs="Times New Roman"/>
          <w:b/>
          <w:sz w:val="24"/>
          <w:szCs w:val="24"/>
        </w:rPr>
        <w:t>(45)</w:t>
      </w:r>
    </w:p>
    <w:p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dane zajmove i depozite </w:t>
      </w:r>
      <w:r w:rsidRPr="00D649D7">
        <w:rPr>
          <w:rFonts w:ascii="Times New Roman" w:hAnsi="Times New Roman" w:cs="Times New Roman"/>
          <w:b/>
          <w:sz w:val="24"/>
          <w:szCs w:val="24"/>
        </w:rPr>
        <w:t>(51)</w:t>
      </w:r>
    </w:p>
    <w:p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dionice i udjele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(53)</w:t>
      </w:r>
    </w:p>
    <w:p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otplatu glavnice primljenih kredita i zajmova </w:t>
      </w:r>
      <w:r w:rsidRPr="00D649D7">
        <w:rPr>
          <w:rFonts w:ascii="Times New Roman" w:hAnsi="Times New Roman" w:cs="Times New Roman"/>
          <w:b/>
          <w:sz w:val="24"/>
          <w:szCs w:val="24"/>
        </w:rPr>
        <w:t>(54)</w:t>
      </w:r>
    </w:p>
    <w:p w:rsidR="00EC2D6D" w:rsidRPr="00EC2D6D" w:rsidRDefault="007F0347" w:rsidP="00E5535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</w:t>
      </w:r>
      <w:r w:rsidR="00B60902">
        <w:rPr>
          <w:rFonts w:ascii="Times New Roman" w:hAnsi="Times New Roman" w:cs="Times New Roman"/>
          <w:sz w:val="24"/>
          <w:szCs w:val="24"/>
        </w:rPr>
        <w:t xml:space="preserve"> otplatu glavnice</w:t>
      </w:r>
      <w:r w:rsidR="00EC2D6D" w:rsidRPr="00EC2D6D">
        <w:rPr>
          <w:rFonts w:ascii="Times New Roman" w:hAnsi="Times New Roman" w:cs="Times New Roman"/>
          <w:sz w:val="24"/>
          <w:szCs w:val="24"/>
        </w:rPr>
        <w:t xml:space="preserve"> zajma EBRD-a</w:t>
      </w:r>
      <w:r w:rsidR="00B60902">
        <w:rPr>
          <w:rFonts w:ascii="Times New Roman" w:hAnsi="Times New Roman" w:cs="Times New Roman"/>
          <w:sz w:val="24"/>
          <w:szCs w:val="24"/>
        </w:rPr>
        <w:t>. se odnose na</w:t>
      </w:r>
      <w:r w:rsidR="00EC2D6D" w:rsidRPr="00EC2D6D">
        <w:rPr>
          <w:rFonts w:ascii="Times New Roman" w:hAnsi="Times New Roman" w:cs="Times New Roman"/>
          <w:sz w:val="24"/>
          <w:szCs w:val="24"/>
        </w:rPr>
        <w:t xml:space="preserve"> Projekt izgradnje vanjskih vezova na glavnom lukobranu u Gradskoj luci Split.</w:t>
      </w:r>
      <w:r>
        <w:rPr>
          <w:rFonts w:ascii="Times New Roman" w:hAnsi="Times New Roman" w:cs="Times New Roman"/>
          <w:sz w:val="24"/>
          <w:szCs w:val="24"/>
        </w:rPr>
        <w:t xml:space="preserve">  Projekt je započeo 2014. god.</w:t>
      </w:r>
      <w:r w:rsidR="00EC2D6D" w:rsidRPr="00EC2D6D">
        <w:rPr>
          <w:rFonts w:ascii="Times New Roman" w:hAnsi="Times New Roman" w:cs="Times New Roman"/>
          <w:sz w:val="24"/>
          <w:szCs w:val="24"/>
        </w:rPr>
        <w:t xml:space="preserve">, a završen 2017. god. Zajam je iskorišten u iznosu od 23.293.428,38 EUR. Otplata je ugovorena u jednakim polugodišnjim </w:t>
      </w:r>
      <w:r w:rsidR="00EC2D6D" w:rsidRPr="00EC2D6D">
        <w:rPr>
          <w:rFonts w:ascii="Times New Roman" w:hAnsi="Times New Roman" w:cs="Times New Roman"/>
          <w:sz w:val="24"/>
          <w:szCs w:val="24"/>
        </w:rPr>
        <w:lastRenderedPageBreak/>
        <w:t>obrocima</w:t>
      </w:r>
      <w:r w:rsidR="00F31607">
        <w:rPr>
          <w:rFonts w:ascii="Times New Roman" w:hAnsi="Times New Roman" w:cs="Times New Roman"/>
          <w:sz w:val="24"/>
          <w:szCs w:val="24"/>
        </w:rPr>
        <w:t xml:space="preserve"> </w:t>
      </w:r>
      <w:r w:rsidR="00EC2D6D" w:rsidRPr="00EC2D6D">
        <w:rPr>
          <w:rFonts w:ascii="Times New Roman" w:hAnsi="Times New Roman" w:cs="Times New Roman"/>
          <w:sz w:val="24"/>
          <w:szCs w:val="24"/>
        </w:rPr>
        <w:t>od 2017. god do 20</w:t>
      </w:r>
      <w:r w:rsidR="00F31607">
        <w:rPr>
          <w:rFonts w:ascii="Times New Roman" w:hAnsi="Times New Roman" w:cs="Times New Roman"/>
          <w:sz w:val="24"/>
          <w:szCs w:val="24"/>
        </w:rPr>
        <w:t xml:space="preserve">28 god. U 2023. godini je otplaćeno 2.027.928,10EUR. </w:t>
      </w:r>
      <w:r w:rsidR="0088110D">
        <w:rPr>
          <w:rFonts w:ascii="Times New Roman" w:hAnsi="Times New Roman" w:cs="Times New Roman"/>
          <w:sz w:val="24"/>
          <w:szCs w:val="24"/>
        </w:rPr>
        <w:t>U</w:t>
      </w:r>
      <w:r w:rsidR="0011674B">
        <w:rPr>
          <w:rFonts w:ascii="Times New Roman" w:hAnsi="Times New Roman" w:cs="Times New Roman"/>
          <w:sz w:val="24"/>
          <w:szCs w:val="24"/>
        </w:rPr>
        <w:t xml:space="preserve"> 2024. je otplaćena rata od </w:t>
      </w:r>
      <w:r w:rsidR="0088110D">
        <w:rPr>
          <w:rFonts w:ascii="Times New Roman" w:hAnsi="Times New Roman" w:cs="Times New Roman"/>
          <w:sz w:val="24"/>
          <w:szCs w:val="24"/>
        </w:rPr>
        <w:t xml:space="preserve">1.013.954,05 EUR. </w:t>
      </w:r>
      <w:r w:rsidR="00F31607">
        <w:rPr>
          <w:rFonts w:ascii="Times New Roman" w:hAnsi="Times New Roman" w:cs="Times New Roman"/>
          <w:sz w:val="24"/>
          <w:szCs w:val="24"/>
        </w:rPr>
        <w:t xml:space="preserve">Saldo nedospjele glavnice iznosi </w:t>
      </w:r>
      <w:r w:rsidR="0088110D">
        <w:rPr>
          <w:rFonts w:ascii="Times New Roman" w:hAnsi="Times New Roman" w:cs="Times New Roman"/>
          <w:sz w:val="24"/>
          <w:szCs w:val="24"/>
        </w:rPr>
        <w:t>8.111</w:t>
      </w:r>
      <w:r w:rsidR="00F31607">
        <w:rPr>
          <w:rFonts w:ascii="Times New Roman" w:hAnsi="Times New Roman" w:cs="Times New Roman"/>
          <w:sz w:val="24"/>
          <w:szCs w:val="24"/>
        </w:rPr>
        <w:t>.</w:t>
      </w:r>
      <w:r w:rsidR="00A95E12">
        <w:rPr>
          <w:rFonts w:ascii="Times New Roman" w:hAnsi="Times New Roman" w:cs="Times New Roman"/>
          <w:sz w:val="24"/>
          <w:szCs w:val="24"/>
        </w:rPr>
        <w:t>712,21</w:t>
      </w:r>
      <w:r w:rsidR="00F31607">
        <w:rPr>
          <w:rFonts w:ascii="Times New Roman" w:hAnsi="Times New Roman" w:cs="Times New Roman"/>
          <w:sz w:val="24"/>
          <w:szCs w:val="24"/>
        </w:rPr>
        <w:t xml:space="preserve"> EUR</w:t>
      </w:r>
      <w:r w:rsidR="00A95E12">
        <w:rPr>
          <w:rFonts w:ascii="Times New Roman" w:hAnsi="Times New Roman" w:cs="Times New Roman"/>
          <w:sz w:val="24"/>
          <w:szCs w:val="24"/>
        </w:rPr>
        <w:t>.</w:t>
      </w:r>
    </w:p>
    <w:p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2D0CC0" w:rsidRDefault="002D0CC0" w:rsidP="002D0CC0">
      <w:bookmarkStart w:id="4" w:name="_Toc135657524"/>
    </w:p>
    <w:p w:rsidR="002D0CC0" w:rsidRPr="002D0CC0" w:rsidRDefault="002D0CC0" w:rsidP="002D0CC0"/>
    <w:p w:rsidR="0069302A" w:rsidRPr="00614260" w:rsidRDefault="000D58E1" w:rsidP="00036DEE">
      <w:pPr>
        <w:pStyle w:val="Naslov1"/>
      </w:pPr>
      <w:r w:rsidRPr="00614260">
        <w:t>B I LJ E Š K E  U Z  O B R A Z A C  O B V E Z E</w:t>
      </w:r>
      <w:bookmarkEnd w:id="4"/>
    </w:p>
    <w:p w:rsidR="00005934" w:rsidRDefault="00005934" w:rsidP="00005934">
      <w:pPr>
        <w:rPr>
          <w:rFonts w:ascii="Times New Roman" w:hAnsi="Times New Roman" w:cs="Times New Roman"/>
          <w:sz w:val="28"/>
          <w:szCs w:val="28"/>
        </w:rPr>
      </w:pPr>
    </w:p>
    <w:p w:rsidR="00005934" w:rsidRPr="00D649D7" w:rsidRDefault="00005934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Stanje obveza</w:t>
      </w:r>
      <w:r>
        <w:rPr>
          <w:rFonts w:ascii="Times New Roman" w:hAnsi="Times New Roman" w:cs="Times New Roman"/>
          <w:sz w:val="24"/>
          <w:szCs w:val="24"/>
        </w:rPr>
        <w:t xml:space="preserve">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(V006)</w:t>
      </w:r>
    </w:p>
    <w:p w:rsidR="00005934" w:rsidRPr="00D649D7" w:rsidRDefault="00C40BAE" w:rsidP="0015133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izvještajnog razdoblja stanje obveza je </w:t>
      </w:r>
      <w:r w:rsidR="004D7299">
        <w:rPr>
          <w:rFonts w:ascii="Times New Roman" w:hAnsi="Times New Roman" w:cs="Times New Roman"/>
          <w:sz w:val="24"/>
          <w:szCs w:val="24"/>
        </w:rPr>
        <w:t>9.</w:t>
      </w:r>
      <w:r w:rsidR="0085465C">
        <w:rPr>
          <w:rFonts w:ascii="Times New Roman" w:hAnsi="Times New Roman" w:cs="Times New Roman"/>
          <w:sz w:val="24"/>
          <w:szCs w:val="24"/>
        </w:rPr>
        <w:t>206.090,20</w:t>
      </w:r>
      <w:r w:rsidR="00151337">
        <w:rPr>
          <w:rFonts w:ascii="Times New Roman" w:hAnsi="Times New Roman" w:cs="Times New Roman"/>
          <w:sz w:val="24"/>
          <w:szCs w:val="24"/>
        </w:rPr>
        <w:t>EUR.</w:t>
      </w:r>
    </w:p>
    <w:p w:rsidR="004F6DF2" w:rsidRDefault="00C40BA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Dospjelih obveza nema</w:t>
      </w:r>
    </w:p>
    <w:p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(V009)</w:t>
      </w:r>
    </w:p>
    <w:p w:rsidR="004D3D5E" w:rsidRDefault="00C40BAE" w:rsidP="008927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se sastoje od tekućih </w:t>
      </w:r>
      <w:r w:rsidR="004D3D5E">
        <w:rPr>
          <w:rFonts w:ascii="Times New Roman" w:hAnsi="Times New Roman" w:cs="Times New Roman"/>
          <w:sz w:val="24"/>
          <w:szCs w:val="24"/>
        </w:rPr>
        <w:t xml:space="preserve">i kapitalnih </w:t>
      </w:r>
      <w:r>
        <w:rPr>
          <w:rFonts w:ascii="Times New Roman" w:hAnsi="Times New Roman" w:cs="Times New Roman"/>
          <w:sz w:val="24"/>
          <w:szCs w:val="24"/>
        </w:rPr>
        <w:t>rashoda poslovanja</w:t>
      </w:r>
      <w:r w:rsidR="007B2113">
        <w:rPr>
          <w:rFonts w:ascii="Times New Roman" w:hAnsi="Times New Roman" w:cs="Times New Roman"/>
          <w:sz w:val="24"/>
          <w:szCs w:val="24"/>
        </w:rPr>
        <w:t>, kojim</w:t>
      </w:r>
      <w:r w:rsidR="004D3D5E">
        <w:rPr>
          <w:rFonts w:ascii="Times New Roman" w:hAnsi="Times New Roman" w:cs="Times New Roman"/>
          <w:sz w:val="24"/>
          <w:szCs w:val="24"/>
        </w:rPr>
        <w:t xml:space="preserve">a je dospijeće nakon </w:t>
      </w:r>
      <w:r w:rsidR="0085465C">
        <w:rPr>
          <w:rFonts w:ascii="Times New Roman" w:hAnsi="Times New Roman" w:cs="Times New Roman"/>
          <w:sz w:val="24"/>
          <w:szCs w:val="24"/>
        </w:rPr>
        <w:t>30.06.2024.</w:t>
      </w:r>
      <w:r w:rsidR="007B2113">
        <w:rPr>
          <w:rFonts w:ascii="Times New Roman" w:hAnsi="Times New Roman" w:cs="Times New Roman"/>
          <w:sz w:val="24"/>
          <w:szCs w:val="24"/>
        </w:rPr>
        <w:t>g</w:t>
      </w:r>
      <w:r w:rsidR="003D1217">
        <w:rPr>
          <w:rFonts w:ascii="Times New Roman" w:hAnsi="Times New Roman" w:cs="Times New Roman"/>
          <w:sz w:val="24"/>
          <w:szCs w:val="24"/>
        </w:rPr>
        <w:t>od.</w:t>
      </w:r>
      <w:r w:rsidR="007B2113">
        <w:rPr>
          <w:rFonts w:ascii="Times New Roman" w:hAnsi="Times New Roman" w:cs="Times New Roman"/>
          <w:sz w:val="24"/>
          <w:szCs w:val="24"/>
        </w:rPr>
        <w:t xml:space="preserve"> te od nedospjelih obveza za zajam EBRD-a</w:t>
      </w:r>
      <w:r w:rsidR="004D3D5E">
        <w:rPr>
          <w:rFonts w:ascii="Times New Roman" w:hAnsi="Times New Roman" w:cs="Times New Roman"/>
          <w:sz w:val="24"/>
          <w:szCs w:val="24"/>
        </w:rPr>
        <w:t>.</w:t>
      </w:r>
    </w:p>
    <w:p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4F6DF2" w:rsidRPr="004F6DF2" w:rsidRDefault="004F6DF2" w:rsidP="004F6DF2">
      <w:pPr>
        <w:rPr>
          <w:rFonts w:ascii="Times New Roman" w:hAnsi="Times New Roman" w:cs="Times New Roman"/>
          <w:sz w:val="24"/>
          <w:szCs w:val="24"/>
        </w:rPr>
      </w:pPr>
    </w:p>
    <w:sectPr w:rsidR="004F6DF2" w:rsidRPr="004F6DF2" w:rsidSect="00036DEE">
      <w:footerReference w:type="default" r:id="rId8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71E" w:rsidRDefault="0017571E" w:rsidP="00CC75C5">
      <w:pPr>
        <w:spacing w:after="0" w:line="240" w:lineRule="auto"/>
      </w:pPr>
      <w:r>
        <w:separator/>
      </w:r>
    </w:p>
  </w:endnote>
  <w:endnote w:type="continuationSeparator" w:id="0">
    <w:p w:rsidR="0017571E" w:rsidRDefault="0017571E" w:rsidP="00C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4872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75C5" w:rsidRDefault="00CC75C5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C9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C9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75C5" w:rsidRDefault="00CC75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71E" w:rsidRDefault="0017571E" w:rsidP="00CC75C5">
      <w:pPr>
        <w:spacing w:after="0" w:line="240" w:lineRule="auto"/>
      </w:pPr>
      <w:r>
        <w:separator/>
      </w:r>
    </w:p>
  </w:footnote>
  <w:footnote w:type="continuationSeparator" w:id="0">
    <w:p w:rsidR="0017571E" w:rsidRDefault="0017571E" w:rsidP="00CC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3018"/>
    <w:multiLevelType w:val="hybridMultilevel"/>
    <w:tmpl w:val="A206600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28637D"/>
    <w:multiLevelType w:val="hybridMultilevel"/>
    <w:tmpl w:val="0318263C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136249"/>
    <w:multiLevelType w:val="hybridMultilevel"/>
    <w:tmpl w:val="E90ABDEA"/>
    <w:lvl w:ilvl="0" w:tplc="323CAF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0C8341B"/>
    <w:multiLevelType w:val="hybridMultilevel"/>
    <w:tmpl w:val="5C5818DC"/>
    <w:lvl w:ilvl="0" w:tplc="05AE21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16D83"/>
    <w:multiLevelType w:val="hybridMultilevel"/>
    <w:tmpl w:val="0ADA96EE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21"/>
    <w:rsid w:val="00005934"/>
    <w:rsid w:val="000213D8"/>
    <w:rsid w:val="00036DEE"/>
    <w:rsid w:val="00051C47"/>
    <w:rsid w:val="00063065"/>
    <w:rsid w:val="00064C4E"/>
    <w:rsid w:val="000709CE"/>
    <w:rsid w:val="00081F3F"/>
    <w:rsid w:val="000970BF"/>
    <w:rsid w:val="000A0ED1"/>
    <w:rsid w:val="000B69A5"/>
    <w:rsid w:val="000C01F8"/>
    <w:rsid w:val="000D58E1"/>
    <w:rsid w:val="000E65F1"/>
    <w:rsid w:val="00105943"/>
    <w:rsid w:val="0011674B"/>
    <w:rsid w:val="0012176F"/>
    <w:rsid w:val="0012479A"/>
    <w:rsid w:val="00151337"/>
    <w:rsid w:val="00166CA2"/>
    <w:rsid w:val="00170143"/>
    <w:rsid w:val="00170E21"/>
    <w:rsid w:val="0017571E"/>
    <w:rsid w:val="00196B92"/>
    <w:rsid w:val="001A150C"/>
    <w:rsid w:val="001B33E1"/>
    <w:rsid w:val="001B53AA"/>
    <w:rsid w:val="001D2B7E"/>
    <w:rsid w:val="001D4818"/>
    <w:rsid w:val="001E094A"/>
    <w:rsid w:val="001E18F6"/>
    <w:rsid w:val="00205010"/>
    <w:rsid w:val="00211655"/>
    <w:rsid w:val="00211E9D"/>
    <w:rsid w:val="002135D3"/>
    <w:rsid w:val="00237E53"/>
    <w:rsid w:val="0025024E"/>
    <w:rsid w:val="0025395E"/>
    <w:rsid w:val="00257F28"/>
    <w:rsid w:val="00276985"/>
    <w:rsid w:val="002830FF"/>
    <w:rsid w:val="00286BC4"/>
    <w:rsid w:val="002A3C43"/>
    <w:rsid w:val="002D0CC0"/>
    <w:rsid w:val="002F00CA"/>
    <w:rsid w:val="002F2536"/>
    <w:rsid w:val="002F61C1"/>
    <w:rsid w:val="0030404D"/>
    <w:rsid w:val="0031253E"/>
    <w:rsid w:val="0034280D"/>
    <w:rsid w:val="003435EA"/>
    <w:rsid w:val="00375EF7"/>
    <w:rsid w:val="00387228"/>
    <w:rsid w:val="003970FA"/>
    <w:rsid w:val="003A1988"/>
    <w:rsid w:val="003A6547"/>
    <w:rsid w:val="003B66F3"/>
    <w:rsid w:val="003B7FA3"/>
    <w:rsid w:val="003D1217"/>
    <w:rsid w:val="003D38D7"/>
    <w:rsid w:val="003E4537"/>
    <w:rsid w:val="003E7F0A"/>
    <w:rsid w:val="00404F60"/>
    <w:rsid w:val="00416139"/>
    <w:rsid w:val="004214D0"/>
    <w:rsid w:val="00430D63"/>
    <w:rsid w:val="00431547"/>
    <w:rsid w:val="004405EA"/>
    <w:rsid w:val="004517C4"/>
    <w:rsid w:val="00453BCB"/>
    <w:rsid w:val="00463562"/>
    <w:rsid w:val="0046772E"/>
    <w:rsid w:val="00485D34"/>
    <w:rsid w:val="00492977"/>
    <w:rsid w:val="004A3A64"/>
    <w:rsid w:val="004D3D5E"/>
    <w:rsid w:val="004D7299"/>
    <w:rsid w:val="004E4465"/>
    <w:rsid w:val="004F090D"/>
    <w:rsid w:val="004F6DF2"/>
    <w:rsid w:val="00511B95"/>
    <w:rsid w:val="005164EE"/>
    <w:rsid w:val="00525DF2"/>
    <w:rsid w:val="00537898"/>
    <w:rsid w:val="005440E3"/>
    <w:rsid w:val="00547314"/>
    <w:rsid w:val="00560245"/>
    <w:rsid w:val="00566524"/>
    <w:rsid w:val="005903E9"/>
    <w:rsid w:val="00593A9E"/>
    <w:rsid w:val="005A0D29"/>
    <w:rsid w:val="005A35D8"/>
    <w:rsid w:val="005A7DA5"/>
    <w:rsid w:val="005B0092"/>
    <w:rsid w:val="005B46C2"/>
    <w:rsid w:val="005B5714"/>
    <w:rsid w:val="005C76D0"/>
    <w:rsid w:val="00604499"/>
    <w:rsid w:val="00606AB8"/>
    <w:rsid w:val="00614260"/>
    <w:rsid w:val="00632B0F"/>
    <w:rsid w:val="006334F2"/>
    <w:rsid w:val="006611AC"/>
    <w:rsid w:val="0066217F"/>
    <w:rsid w:val="00664449"/>
    <w:rsid w:val="00671A04"/>
    <w:rsid w:val="00680392"/>
    <w:rsid w:val="006911CF"/>
    <w:rsid w:val="00691B25"/>
    <w:rsid w:val="0069302A"/>
    <w:rsid w:val="006A38D2"/>
    <w:rsid w:val="006A7AD0"/>
    <w:rsid w:val="006D3EAB"/>
    <w:rsid w:val="00717BF7"/>
    <w:rsid w:val="00743CFB"/>
    <w:rsid w:val="007528CC"/>
    <w:rsid w:val="00754EC6"/>
    <w:rsid w:val="007643E0"/>
    <w:rsid w:val="00785AD1"/>
    <w:rsid w:val="00787F18"/>
    <w:rsid w:val="007A0903"/>
    <w:rsid w:val="007B2113"/>
    <w:rsid w:val="007B6F87"/>
    <w:rsid w:val="007C7326"/>
    <w:rsid w:val="007D0E40"/>
    <w:rsid w:val="007D13D7"/>
    <w:rsid w:val="007E2C87"/>
    <w:rsid w:val="007E53CC"/>
    <w:rsid w:val="007F0347"/>
    <w:rsid w:val="007F3766"/>
    <w:rsid w:val="007F5640"/>
    <w:rsid w:val="00814FB9"/>
    <w:rsid w:val="00821A3D"/>
    <w:rsid w:val="0082705A"/>
    <w:rsid w:val="00835E73"/>
    <w:rsid w:val="00851A55"/>
    <w:rsid w:val="0085465C"/>
    <w:rsid w:val="00861EC0"/>
    <w:rsid w:val="00864E52"/>
    <w:rsid w:val="00867041"/>
    <w:rsid w:val="0088110D"/>
    <w:rsid w:val="008927BB"/>
    <w:rsid w:val="008A2BE4"/>
    <w:rsid w:val="008B42E8"/>
    <w:rsid w:val="008C764F"/>
    <w:rsid w:val="008F611D"/>
    <w:rsid w:val="009045BC"/>
    <w:rsid w:val="00907621"/>
    <w:rsid w:val="00911E03"/>
    <w:rsid w:val="00914103"/>
    <w:rsid w:val="0093379D"/>
    <w:rsid w:val="009465AB"/>
    <w:rsid w:val="00967F00"/>
    <w:rsid w:val="00970F97"/>
    <w:rsid w:val="009B7C3A"/>
    <w:rsid w:val="009C1EC6"/>
    <w:rsid w:val="009D258A"/>
    <w:rsid w:val="009E1C30"/>
    <w:rsid w:val="00A01E58"/>
    <w:rsid w:val="00A02D53"/>
    <w:rsid w:val="00A02F34"/>
    <w:rsid w:val="00A21C6A"/>
    <w:rsid w:val="00A23000"/>
    <w:rsid w:val="00A30264"/>
    <w:rsid w:val="00A32973"/>
    <w:rsid w:val="00A358B5"/>
    <w:rsid w:val="00A428C7"/>
    <w:rsid w:val="00A47738"/>
    <w:rsid w:val="00A56B7D"/>
    <w:rsid w:val="00A95E12"/>
    <w:rsid w:val="00AC4BDA"/>
    <w:rsid w:val="00AE329A"/>
    <w:rsid w:val="00AE65AC"/>
    <w:rsid w:val="00AE679A"/>
    <w:rsid w:val="00B062DA"/>
    <w:rsid w:val="00B37B91"/>
    <w:rsid w:val="00B43FCD"/>
    <w:rsid w:val="00B570C8"/>
    <w:rsid w:val="00B60902"/>
    <w:rsid w:val="00B767B6"/>
    <w:rsid w:val="00B83769"/>
    <w:rsid w:val="00B8787A"/>
    <w:rsid w:val="00BA4C1A"/>
    <w:rsid w:val="00BA68D7"/>
    <w:rsid w:val="00BB089F"/>
    <w:rsid w:val="00BB0D9E"/>
    <w:rsid w:val="00BB39F8"/>
    <w:rsid w:val="00BB59A5"/>
    <w:rsid w:val="00BF5279"/>
    <w:rsid w:val="00C229B3"/>
    <w:rsid w:val="00C26098"/>
    <w:rsid w:val="00C40BAE"/>
    <w:rsid w:val="00C52403"/>
    <w:rsid w:val="00C55528"/>
    <w:rsid w:val="00C564FB"/>
    <w:rsid w:val="00C62C79"/>
    <w:rsid w:val="00C8340A"/>
    <w:rsid w:val="00C868EF"/>
    <w:rsid w:val="00C91167"/>
    <w:rsid w:val="00CA0512"/>
    <w:rsid w:val="00CA3B19"/>
    <w:rsid w:val="00CC75C5"/>
    <w:rsid w:val="00CD7194"/>
    <w:rsid w:val="00CF2006"/>
    <w:rsid w:val="00CF7A90"/>
    <w:rsid w:val="00D42ECC"/>
    <w:rsid w:val="00D61BB8"/>
    <w:rsid w:val="00D638BF"/>
    <w:rsid w:val="00D649D7"/>
    <w:rsid w:val="00D75186"/>
    <w:rsid w:val="00D83188"/>
    <w:rsid w:val="00D8497A"/>
    <w:rsid w:val="00D91326"/>
    <w:rsid w:val="00DB2993"/>
    <w:rsid w:val="00DE398F"/>
    <w:rsid w:val="00DF3BC6"/>
    <w:rsid w:val="00DF4937"/>
    <w:rsid w:val="00E17893"/>
    <w:rsid w:val="00E23F3D"/>
    <w:rsid w:val="00E33418"/>
    <w:rsid w:val="00E45F46"/>
    <w:rsid w:val="00E47C98"/>
    <w:rsid w:val="00E50A3A"/>
    <w:rsid w:val="00E5535C"/>
    <w:rsid w:val="00E668CA"/>
    <w:rsid w:val="00E95B72"/>
    <w:rsid w:val="00EB40C1"/>
    <w:rsid w:val="00EC2D6D"/>
    <w:rsid w:val="00ED4F13"/>
    <w:rsid w:val="00EE0475"/>
    <w:rsid w:val="00EE5736"/>
    <w:rsid w:val="00EF0428"/>
    <w:rsid w:val="00EF2B47"/>
    <w:rsid w:val="00F23C63"/>
    <w:rsid w:val="00F2541C"/>
    <w:rsid w:val="00F31607"/>
    <w:rsid w:val="00F40A03"/>
    <w:rsid w:val="00F53D1C"/>
    <w:rsid w:val="00F57813"/>
    <w:rsid w:val="00F8373E"/>
    <w:rsid w:val="00F92099"/>
    <w:rsid w:val="00F957A9"/>
    <w:rsid w:val="00FA2365"/>
    <w:rsid w:val="00FC6A61"/>
    <w:rsid w:val="00FD5971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FDCE"/>
  <w15:docId w15:val="{194C0C84-7441-47E1-92F1-643B3EF9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6DE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36DEE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3E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0E2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5C5"/>
  </w:style>
  <w:style w:type="paragraph" w:styleId="Podnoje">
    <w:name w:val="footer"/>
    <w:basedOn w:val="Normal"/>
    <w:link w:val="Podnoje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5C5"/>
  </w:style>
  <w:style w:type="character" w:customStyle="1" w:styleId="Naslov1Char">
    <w:name w:val="Naslov 1 Char"/>
    <w:basedOn w:val="Zadanifontodlomka"/>
    <w:link w:val="Naslov1"/>
    <w:uiPriority w:val="9"/>
    <w:rsid w:val="00036DEE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36DEE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4F6DF2"/>
    <w:pPr>
      <w:jc w:val="left"/>
      <w:outlineLvl w:val="9"/>
    </w:pPr>
    <w:rPr>
      <w:rFonts w:asciiTheme="majorHAnsi" w:hAnsiTheme="majorHAnsi" w:cstheme="majorBidi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F6DF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F6DF2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4F6DF2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3E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AA39-0396-4368-BF41-AB7DDAAC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Vrčak</dc:creator>
  <cp:lastModifiedBy>Dragana Antisic</cp:lastModifiedBy>
  <cp:revision>32</cp:revision>
  <dcterms:created xsi:type="dcterms:W3CDTF">2024-07-09T13:51:00Z</dcterms:created>
  <dcterms:modified xsi:type="dcterms:W3CDTF">2024-07-09T14:55:00Z</dcterms:modified>
</cp:coreProperties>
</file>