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p w:rsidR="00B32153" w:rsidRDefault="00103DC5">
      <w:pPr>
        <w:pStyle w:val="Naslov2"/>
      </w:pPr>
      <w:r>
        <w:t>51327 Lučka uprava Split</w:t>
      </w:r>
    </w:p>
    <w:p w:rsidR="00B32153" w:rsidRDefault="00103DC5">
      <w:r>
        <w:t xml:space="preserve">Lučka uprava Split je ustanova kojoj je osnivač Republika Hrvatska. Osnovana je Odlukom Vlade Republike Hrvatske radi upravljanja, izgradnje i korištenja luke Split u skladu s odredbama Zakona o pomorskom dobru i morskim lukama. </w:t>
      </w:r>
    </w:p>
    <w:p w:rsidR="00B32153" w:rsidRDefault="00103DC5">
      <w:r>
        <w:t xml:space="preserve">Lučka uprava obavlja poslove vezane uz gradnju, održavanje, upravljanje, zaštitu i unapređenje pomorskog dobra na lučkom području luke Split te gradi i održava lučku podgradnju, obavlja stručni nadzor nad gradnjom, održavanjem, upravljanjem i zaštitom lučke podgradnje i nadgradnje, osigurava trajno i nesmetano obavljanje lučkog prometa i sigurnosti plovidbe, usklađuje i nadzire rad ovlaštenika koncesije koji obavljaju lučku i gospodarsku djelatnost na lučkom području, donosi odluke o osnivanju i upravljanju slobodnom zonom na lučkom području te obavlja druge poslove u skladu sa Zakonom. </w:t>
      </w:r>
    </w:p>
    <w:p w:rsidR="00B32153" w:rsidRDefault="00103DC5">
      <w:r>
        <w:t>Sredstva za rad osiguravaju se iz lučkih pristojbi, naknada od koncesija, državnog proračuna i ostalih prihoda. Sredstvima iz državnog proračuna financira se izgradnja i održavanje lučke podgradnje, a ostala sredstva su namijenjena za izgradnju i održavanje lučke nadgradnje i podgradnje, opremanje luke opremom za zaštitu mora od onečišćenja s brodova, održavanje dubine u luci i na sidrištu luke te za troškove poslovanja.</w:t>
      </w:r>
    </w:p>
    <w:tbl>
      <w:tblPr>
        <w:tblStyle w:val="StilTablice"/>
        <w:tblW w:w="10206" w:type="dxa"/>
        <w:jc w:val="center"/>
        <w:tblLook w:val="04A0" w:firstRow="1" w:lastRow="0" w:firstColumn="1" w:lastColumn="0" w:noHBand="0" w:noVBand="1"/>
      </w:tblPr>
      <w:tblGrid>
        <w:gridCol w:w="1428"/>
        <w:gridCol w:w="1552"/>
        <w:gridCol w:w="1564"/>
        <w:gridCol w:w="1564"/>
        <w:gridCol w:w="1564"/>
        <w:gridCol w:w="1564"/>
        <w:gridCol w:w="970"/>
      </w:tblGrid>
      <w:tr w:rsidR="00B32153">
        <w:trPr>
          <w:jc w:val="center"/>
        </w:trPr>
        <w:tc>
          <w:tcPr>
            <w:tcW w:w="1530" w:type="dxa"/>
            <w:shd w:val="clear" w:color="auto" w:fill="B5C0D8"/>
          </w:tcPr>
          <w:p w:rsidR="00B32153" w:rsidRDefault="00B32153">
            <w:pPr>
              <w:pStyle w:val="CellHeader"/>
              <w:jc w:val="center"/>
            </w:pP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tcPr>
          <w:p w:rsidR="00B32153" w:rsidRDefault="00103DC5">
            <w:pPr>
              <w:pStyle w:val="CellColumn"/>
              <w:jc w:val="left"/>
            </w:pPr>
            <w:r>
              <w:rPr>
                <w:rFonts w:cs="Times New Roman"/>
              </w:rPr>
              <w:t>51327</w:t>
            </w:r>
          </w:p>
        </w:tc>
        <w:tc>
          <w:tcPr>
            <w:tcW w:w="1632" w:type="dxa"/>
          </w:tcPr>
          <w:p w:rsidR="00B32153" w:rsidRDefault="00103DC5">
            <w:pPr>
              <w:jc w:val="right"/>
            </w:pPr>
            <w:r>
              <w:t>8.831.864</w:t>
            </w:r>
          </w:p>
        </w:tc>
        <w:tc>
          <w:tcPr>
            <w:tcW w:w="1632" w:type="dxa"/>
          </w:tcPr>
          <w:p w:rsidR="00B32153" w:rsidRDefault="00103DC5">
            <w:pPr>
              <w:jc w:val="right"/>
            </w:pPr>
            <w:r>
              <w:t>10.069.860</w:t>
            </w:r>
          </w:p>
        </w:tc>
        <w:tc>
          <w:tcPr>
            <w:tcW w:w="1632" w:type="dxa"/>
          </w:tcPr>
          <w:p w:rsidR="00B32153" w:rsidRDefault="00103DC5">
            <w:pPr>
              <w:jc w:val="right"/>
            </w:pPr>
            <w:r>
              <w:t>33.785.807</w:t>
            </w:r>
          </w:p>
        </w:tc>
        <w:tc>
          <w:tcPr>
            <w:tcW w:w="1632" w:type="dxa"/>
          </w:tcPr>
          <w:p w:rsidR="00B32153" w:rsidRDefault="00103DC5">
            <w:pPr>
              <w:jc w:val="right"/>
            </w:pPr>
            <w:r>
              <w:t>34.291.841</w:t>
            </w:r>
          </w:p>
        </w:tc>
        <w:tc>
          <w:tcPr>
            <w:tcW w:w="1632" w:type="dxa"/>
          </w:tcPr>
          <w:p w:rsidR="00B32153" w:rsidRDefault="00103DC5">
            <w:pPr>
              <w:jc w:val="right"/>
            </w:pPr>
            <w:r>
              <w:t>36.483.804</w:t>
            </w:r>
          </w:p>
        </w:tc>
        <w:tc>
          <w:tcPr>
            <w:tcW w:w="510" w:type="dxa"/>
          </w:tcPr>
          <w:p w:rsidR="00B32153" w:rsidRDefault="00103DC5">
            <w:pPr>
              <w:jc w:val="right"/>
            </w:pPr>
            <w:r>
              <w:t>335,5</w:t>
            </w:r>
          </w:p>
        </w:tc>
      </w:tr>
    </w:tbl>
    <w:p w:rsidR="00B32153" w:rsidRDefault="00B32153">
      <w:pPr>
        <w:jc w:val="left"/>
      </w:pPr>
    </w:p>
    <w:p w:rsidR="00B32153" w:rsidRDefault="00103DC5">
      <w:pPr>
        <w:pStyle w:val="Naslov3"/>
      </w:pPr>
      <w:r>
        <w:rPr>
          <w:rFonts w:cs="Times New Roman"/>
        </w:rPr>
        <w:t>3111 PRIPREMA I PROVEDBA PROJEKATA SUFINANCIRANIH SREDSTVIMA FONDOVA EU</w:t>
      </w:r>
    </w:p>
    <w:tbl>
      <w:tblPr>
        <w:tblStyle w:val="StilTablice"/>
        <w:tblW w:w="10206" w:type="dxa"/>
        <w:jc w:val="center"/>
        <w:tblLook w:val="04A0" w:firstRow="1" w:lastRow="0" w:firstColumn="1" w:lastColumn="0" w:noHBand="0" w:noVBand="1"/>
      </w:tblPr>
      <w:tblGrid>
        <w:gridCol w:w="1423"/>
        <w:gridCol w:w="1556"/>
        <w:gridCol w:w="1556"/>
        <w:gridCol w:w="1567"/>
        <w:gridCol w:w="1567"/>
        <w:gridCol w:w="1567"/>
        <w:gridCol w:w="970"/>
      </w:tblGrid>
      <w:tr w:rsidR="00B32153">
        <w:trPr>
          <w:jc w:val="center"/>
        </w:trPr>
        <w:tc>
          <w:tcPr>
            <w:tcW w:w="1530" w:type="dxa"/>
            <w:shd w:val="clear" w:color="auto" w:fill="B5C0D8"/>
          </w:tcPr>
          <w:p w:rsidR="00B32153" w:rsidRDefault="00B32153">
            <w:pPr>
              <w:pStyle w:val="CellHeader"/>
            </w:pPr>
          </w:p>
        </w:tc>
        <w:tc>
          <w:tcPr>
            <w:tcW w:w="1632" w:type="dxa"/>
            <w:shd w:val="clear" w:color="auto" w:fill="B5C0D8"/>
          </w:tcPr>
          <w:p w:rsidR="00B32153" w:rsidRDefault="00103DC5">
            <w:pPr>
              <w:pStyle w:val="CellHeader"/>
            </w:pPr>
            <w:r>
              <w:rPr>
                <w:rFonts w:cs="Times New Roman"/>
              </w:rPr>
              <w:t>Izvršenje 2022.</w:t>
            </w:r>
          </w:p>
        </w:tc>
        <w:tc>
          <w:tcPr>
            <w:tcW w:w="1632" w:type="dxa"/>
            <w:shd w:val="clear" w:color="auto" w:fill="B5C0D8"/>
          </w:tcPr>
          <w:p w:rsidR="00B32153" w:rsidRDefault="00103DC5">
            <w:pPr>
              <w:pStyle w:val="CellHeader"/>
            </w:pPr>
            <w:r>
              <w:rPr>
                <w:rFonts w:cs="Times New Roman"/>
              </w:rPr>
              <w:t>Plan 2023.</w:t>
            </w:r>
          </w:p>
        </w:tc>
        <w:tc>
          <w:tcPr>
            <w:tcW w:w="1632" w:type="dxa"/>
            <w:shd w:val="clear" w:color="auto" w:fill="B5C0D8"/>
          </w:tcPr>
          <w:p w:rsidR="00B32153" w:rsidRDefault="00103DC5">
            <w:pPr>
              <w:pStyle w:val="CellHeader"/>
            </w:pPr>
            <w:r>
              <w:rPr>
                <w:rFonts w:cs="Times New Roman"/>
              </w:rPr>
              <w:t>Plan 2024.</w:t>
            </w:r>
          </w:p>
        </w:tc>
        <w:tc>
          <w:tcPr>
            <w:tcW w:w="1632" w:type="dxa"/>
            <w:shd w:val="clear" w:color="auto" w:fill="B5C0D8"/>
          </w:tcPr>
          <w:p w:rsidR="00B32153" w:rsidRDefault="00103DC5">
            <w:pPr>
              <w:pStyle w:val="CellHeader"/>
            </w:pPr>
            <w:r>
              <w:rPr>
                <w:rFonts w:cs="Times New Roman"/>
              </w:rPr>
              <w:t>Plan 2025.</w:t>
            </w:r>
          </w:p>
        </w:tc>
        <w:tc>
          <w:tcPr>
            <w:tcW w:w="1632" w:type="dxa"/>
            <w:shd w:val="clear" w:color="auto" w:fill="B5C0D8"/>
          </w:tcPr>
          <w:p w:rsidR="00B32153" w:rsidRDefault="00103DC5">
            <w:pPr>
              <w:pStyle w:val="CellHead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3111</w:t>
            </w:r>
          </w:p>
        </w:tc>
        <w:tc>
          <w:tcPr>
            <w:tcW w:w="1632" w:type="dxa"/>
            <w:vAlign w:val="top"/>
          </w:tcPr>
          <w:p w:rsidR="00B32153" w:rsidRDefault="00103DC5">
            <w:pPr>
              <w:jc w:val="right"/>
            </w:pPr>
            <w:r>
              <w:t>1.273.621</w:t>
            </w:r>
          </w:p>
        </w:tc>
        <w:tc>
          <w:tcPr>
            <w:tcW w:w="1632" w:type="dxa"/>
            <w:vAlign w:val="top"/>
          </w:tcPr>
          <w:p w:rsidR="00B32153" w:rsidRDefault="00103DC5">
            <w:pPr>
              <w:jc w:val="right"/>
            </w:pPr>
            <w:r>
              <w:t>1.140.491</w:t>
            </w:r>
          </w:p>
        </w:tc>
        <w:tc>
          <w:tcPr>
            <w:tcW w:w="1632" w:type="dxa"/>
            <w:vAlign w:val="top"/>
          </w:tcPr>
          <w:p w:rsidR="00B32153" w:rsidRDefault="00103DC5">
            <w:pPr>
              <w:jc w:val="right"/>
            </w:pPr>
            <w:r>
              <w:t>24.413.997</w:t>
            </w:r>
          </w:p>
        </w:tc>
        <w:tc>
          <w:tcPr>
            <w:tcW w:w="1632" w:type="dxa"/>
            <w:vAlign w:val="top"/>
          </w:tcPr>
          <w:p w:rsidR="00B32153" w:rsidRDefault="00103DC5">
            <w:pPr>
              <w:jc w:val="right"/>
            </w:pPr>
            <w:r>
              <w:t>27.622.136</w:t>
            </w:r>
          </w:p>
        </w:tc>
        <w:tc>
          <w:tcPr>
            <w:tcW w:w="1632" w:type="dxa"/>
            <w:vAlign w:val="top"/>
          </w:tcPr>
          <w:p w:rsidR="00B32153" w:rsidRDefault="00103DC5">
            <w:pPr>
              <w:jc w:val="right"/>
            </w:pPr>
            <w:r>
              <w:t>29.141.599</w:t>
            </w:r>
          </w:p>
        </w:tc>
        <w:tc>
          <w:tcPr>
            <w:tcW w:w="510" w:type="dxa"/>
            <w:vAlign w:val="top"/>
          </w:tcPr>
          <w:p w:rsidR="00B32153" w:rsidRDefault="00103DC5">
            <w:pPr>
              <w:jc w:val="right"/>
            </w:pPr>
            <w:r>
              <w:t>2140,7</w:t>
            </w:r>
          </w:p>
        </w:tc>
      </w:tr>
    </w:tbl>
    <w:p w:rsidR="00B32153" w:rsidRDefault="00B32153">
      <w:pPr>
        <w:jc w:val="left"/>
      </w:pPr>
    </w:p>
    <w:p w:rsidR="00B32153" w:rsidRDefault="00103DC5">
      <w:pPr>
        <w:pStyle w:val="Naslov8"/>
        <w:jc w:val="left"/>
      </w:pPr>
      <w:r>
        <w:t>Cilj 1. Uspješna priprema i praćenje provedbe projekata sufinanciranih sredstvima fondova EU</w:t>
      </w:r>
    </w:p>
    <w:p w:rsidR="00B32153" w:rsidRDefault="00103DC5">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učinka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Povećanje stupnja izgrađenosti operativnih površina</w:t>
            </w:r>
          </w:p>
        </w:tc>
        <w:tc>
          <w:tcPr>
            <w:tcW w:w="2245" w:type="dxa"/>
            <w:vAlign w:val="top"/>
          </w:tcPr>
          <w:p w:rsidR="00B32153" w:rsidRDefault="00103DC5">
            <w:pPr>
              <w:pStyle w:val="CellColumn"/>
              <w:jc w:val="left"/>
            </w:pPr>
            <w:r>
              <w:rPr>
                <w:rFonts w:cs="Times New Roman"/>
              </w:rPr>
              <w:t>Učinkovitom pripremom i praćenjem provedbe projekata sufinanciranih iz EU fondova povećati će se operativne površine luke</w:t>
            </w:r>
          </w:p>
        </w:tc>
        <w:tc>
          <w:tcPr>
            <w:tcW w:w="918" w:type="dxa"/>
          </w:tcPr>
          <w:p w:rsidR="00B32153" w:rsidRDefault="00103DC5">
            <w:pPr>
              <w:jc w:val="center"/>
            </w:pPr>
            <w:r>
              <w:t>%</w:t>
            </w:r>
          </w:p>
        </w:tc>
        <w:tc>
          <w:tcPr>
            <w:tcW w:w="918" w:type="dxa"/>
          </w:tcPr>
          <w:p w:rsidR="00B32153" w:rsidRDefault="00103DC5">
            <w:pPr>
              <w:jc w:val="center"/>
            </w:pPr>
            <w:r>
              <w:t>20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30</w:t>
            </w:r>
          </w:p>
        </w:tc>
        <w:tc>
          <w:tcPr>
            <w:tcW w:w="918" w:type="dxa"/>
          </w:tcPr>
          <w:p w:rsidR="00B32153" w:rsidRDefault="00103DC5">
            <w:pPr>
              <w:jc w:val="center"/>
            </w:pPr>
            <w:r>
              <w:t>40</w:t>
            </w:r>
          </w:p>
        </w:tc>
        <w:tc>
          <w:tcPr>
            <w:tcW w:w="918" w:type="dxa"/>
          </w:tcPr>
          <w:p w:rsidR="00B32153" w:rsidRDefault="00103DC5">
            <w:pPr>
              <w:jc w:val="center"/>
            </w:pPr>
            <w:r>
              <w:t>60</w:t>
            </w:r>
          </w:p>
        </w:tc>
      </w:tr>
    </w:tbl>
    <w:p w:rsidR="00B32153" w:rsidRDefault="00B32153">
      <w:pPr>
        <w:jc w:val="left"/>
      </w:pPr>
    </w:p>
    <w:p w:rsidR="00B32153" w:rsidRDefault="00103DC5">
      <w:pPr>
        <w:pStyle w:val="Naslov4"/>
      </w:pPr>
      <w:r>
        <w:t>K754078 OPERATIVNI PROGRAM ZA POMORSTVO I RIBARSTVO - IZGRADNJA RIBARSKE LUKE KOMIŽA</w:t>
      </w:r>
    </w:p>
    <w:p w:rsidR="00B32153" w:rsidRDefault="00103DC5">
      <w:pPr>
        <w:pStyle w:val="Naslov8"/>
        <w:jc w:val="left"/>
      </w:pPr>
      <w:r>
        <w:t>Zakonske i druge pravne osnove</w:t>
      </w:r>
    </w:p>
    <w:p w:rsidR="00B32153" w:rsidRDefault="00103DC5">
      <w:r>
        <w:t xml:space="preserve">- Zakon o morskom ribarstvu  </w:t>
      </w:r>
    </w:p>
    <w:p w:rsidR="00B32153" w:rsidRDefault="00103DC5">
      <w:r>
        <w:t>- Zakon o pomorskom dobru i morskim lukama NN 83/2023</w:t>
      </w:r>
    </w:p>
    <w:tbl>
      <w:tblPr>
        <w:tblStyle w:val="StilTablice"/>
        <w:tblW w:w="10206" w:type="dxa"/>
        <w:jc w:val="center"/>
        <w:tblLook w:val="04A0" w:firstRow="1" w:lastRow="0" w:firstColumn="1" w:lastColumn="0" w:noHBand="0" w:noVBand="1"/>
      </w:tblPr>
      <w:tblGrid>
        <w:gridCol w:w="1468"/>
        <w:gridCol w:w="1553"/>
        <w:gridCol w:w="1535"/>
        <w:gridCol w:w="1560"/>
        <w:gridCol w:w="1560"/>
        <w:gridCol w:w="1560"/>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lastRenderedPageBreak/>
              <w:t>K754078</w:t>
            </w:r>
          </w:p>
        </w:tc>
        <w:tc>
          <w:tcPr>
            <w:tcW w:w="1632" w:type="dxa"/>
            <w:vAlign w:val="top"/>
          </w:tcPr>
          <w:p w:rsidR="00B32153" w:rsidRDefault="00103DC5">
            <w:pPr>
              <w:jc w:val="right"/>
            </w:pPr>
            <w:r>
              <w:t>00</w:t>
            </w:r>
          </w:p>
        </w:tc>
        <w:tc>
          <w:tcPr>
            <w:tcW w:w="1632" w:type="dxa"/>
            <w:vAlign w:val="top"/>
          </w:tcPr>
          <w:p w:rsidR="00B32153" w:rsidRDefault="00103DC5">
            <w:pPr>
              <w:jc w:val="right"/>
            </w:pPr>
            <w:r>
              <w:t>13.272</w:t>
            </w:r>
          </w:p>
        </w:tc>
        <w:tc>
          <w:tcPr>
            <w:tcW w:w="1632" w:type="dxa"/>
            <w:vAlign w:val="top"/>
          </w:tcPr>
          <w:p w:rsidR="00B32153" w:rsidRDefault="00103DC5">
            <w:pPr>
              <w:jc w:val="right"/>
            </w:pPr>
            <w:r>
              <w:t>2.012.000</w:t>
            </w:r>
          </w:p>
        </w:tc>
        <w:tc>
          <w:tcPr>
            <w:tcW w:w="1632" w:type="dxa"/>
            <w:vAlign w:val="top"/>
          </w:tcPr>
          <w:p w:rsidR="00B32153" w:rsidRDefault="00103DC5">
            <w:pPr>
              <w:jc w:val="right"/>
            </w:pPr>
            <w:r>
              <w:t>2.000.000</w:t>
            </w:r>
          </w:p>
        </w:tc>
        <w:tc>
          <w:tcPr>
            <w:tcW w:w="1632" w:type="dxa"/>
            <w:vAlign w:val="top"/>
          </w:tcPr>
          <w:p w:rsidR="00B32153" w:rsidRDefault="00103DC5">
            <w:pPr>
              <w:jc w:val="right"/>
            </w:pPr>
            <w:r>
              <w:t>1.000.000</w:t>
            </w:r>
          </w:p>
        </w:tc>
        <w:tc>
          <w:tcPr>
            <w:tcW w:w="510" w:type="dxa"/>
            <w:vAlign w:val="top"/>
          </w:tcPr>
          <w:p w:rsidR="00B32153" w:rsidRDefault="00103DC5">
            <w:pPr>
              <w:jc w:val="right"/>
            </w:pPr>
            <w:r>
              <w:t>15159,7</w:t>
            </w:r>
          </w:p>
        </w:tc>
      </w:tr>
    </w:tbl>
    <w:p w:rsidR="00B32153" w:rsidRDefault="00B32153">
      <w:pPr>
        <w:jc w:val="left"/>
      </w:pPr>
    </w:p>
    <w:p w:rsidR="00B32153" w:rsidRDefault="00103DC5">
      <w:r>
        <w:t xml:space="preserve">Izgradnja ribarske luke Komiža osigurala bi prihvat ribarica koje ribare na području ribolovnog mora srednjeg i južnog Jadrana sa svim pratećim sadržajima: veletržnica ribe, opskrba i servis brodova, uslužne djelatnosti i prateće državne službe, te ostalo. </w:t>
      </w:r>
    </w:p>
    <w:p w:rsidR="00B32153" w:rsidRDefault="00103DC5">
      <w:r>
        <w:t xml:space="preserve">Projekt izgradnje ribarske luke „Komiža“ odvijati će se kroz osam faza, te nultu fazu - Rekonstrukcija državne ceste DC117 u Komiži, priključak ribarske luke u dužini od cca 200 metara sa pripadajućim instalacijama. Ovom projektnom dokumentacijom predviđena je1.faza gradnje ribarske luke u Komiži. Predviđena je izgradnja primarnog lukobrana u duljini od cca 78 m, platoa u korijenu primarnog lukobrana, operativne obale u duljini od cca 54 m, te operativne obale istočno od korijena lukobrana u duljini cca 89m, sa uređenjem prometnih površina te instalacijama u zaleđu obalnog zida. </w:t>
      </w:r>
    </w:p>
    <w:p w:rsidR="00B32153" w:rsidRDefault="00103DC5">
      <w:r>
        <w:t xml:space="preserve">Zajednički troškovi 1. faze radova gradnje ribarske luke u Komiži, obrađeni glavnim projektom oznake: „RIBARSKA LUKA U KOMIŽI, 1.FAZA RADOVA" (ZOP: RLK): MAPA 1 — GRAĐEVINSKI PROJEKT; TD: 787/03/2020; MAPA 2 — GEOTEHNIČKI PROJEKT; TD: 788/03/2020; MAPA 3 — ELEKTROTEHNIČKI PROJEKT; TD: E-1379; procijenjeni su na 11.000.000,00 eura s PDV-om, odnosno 8.800.000,00 eura bez PDV-a. </w:t>
      </w:r>
    </w:p>
    <w:p w:rsidR="00B32153" w:rsidRDefault="00103DC5">
      <w:r>
        <w:t>Projekt će  se financirati  iz sredstava Državnog proračuna preko Ministarstva mora, prometa i infrastrukture i Ministarstva poljoprivrede. Ministarstva mora, prometa i infrastrukture bi financiralo projekt sa šest milijuna eura i Ministarstvo poljoprivrede sa pet milijuna eura. Radovi bi trebali početi polovinom  2024. godine, trajati tijekom cijele 2025. godine, do 30.06.2026. godine</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Stupanj izgrađenosti I faze projekta koja se odnosi na uređenje primarnog lukobrana, operativne obale, prometnih površina i instalacija u zaleđu obalnog zida</w:t>
            </w:r>
          </w:p>
        </w:tc>
        <w:tc>
          <w:tcPr>
            <w:tcW w:w="2245" w:type="dxa"/>
            <w:vAlign w:val="top"/>
          </w:tcPr>
          <w:p w:rsidR="00B32153" w:rsidRDefault="00103DC5">
            <w:pPr>
              <w:pStyle w:val="CellColumn"/>
              <w:jc w:val="left"/>
            </w:pPr>
            <w:r>
              <w:rPr>
                <w:rFonts w:cs="Times New Roman"/>
              </w:rPr>
              <w:t>Realizacija izgradnje I faze ribarske luke koja se odnosi na: uređenje primarnog lukobrana, operativne obale i prometnih površina kao i instalacija u zaleđu obalnog zida, u cilju povećanja operativnih površina i proširenja prihvatnih kapaciteta brodova</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30%</w:t>
            </w:r>
          </w:p>
        </w:tc>
        <w:tc>
          <w:tcPr>
            <w:tcW w:w="918" w:type="dxa"/>
          </w:tcPr>
          <w:p w:rsidR="00B32153" w:rsidRDefault="00103DC5">
            <w:pPr>
              <w:jc w:val="center"/>
            </w:pPr>
            <w:r>
              <w:t>70%</w:t>
            </w:r>
          </w:p>
        </w:tc>
        <w:tc>
          <w:tcPr>
            <w:tcW w:w="918" w:type="dxa"/>
          </w:tcPr>
          <w:p w:rsidR="00B32153" w:rsidRDefault="00103DC5">
            <w:pPr>
              <w:jc w:val="center"/>
            </w:pPr>
            <w:r>
              <w:t>100%</w:t>
            </w:r>
          </w:p>
        </w:tc>
      </w:tr>
    </w:tbl>
    <w:p w:rsidR="00B32153" w:rsidRDefault="00B32153">
      <w:pPr>
        <w:jc w:val="left"/>
      </w:pPr>
    </w:p>
    <w:p w:rsidR="00B32153" w:rsidRDefault="00103DC5">
      <w:pPr>
        <w:pStyle w:val="Naslov4"/>
      </w:pPr>
      <w:r>
        <w:t>K754079 MEHANIZAM ZA OPORAVAK I OTPORNOST-NOVI PUTNIČKI TERMINAL (BAZEN GRADSKA LUKA)</w:t>
      </w:r>
    </w:p>
    <w:p w:rsidR="00B32153" w:rsidRDefault="00103DC5">
      <w:pPr>
        <w:pStyle w:val="Naslov8"/>
        <w:jc w:val="left"/>
      </w:pPr>
      <w:r>
        <w:t>Zakonske i druge pravne osnove</w:t>
      </w:r>
    </w:p>
    <w:p w:rsidR="00B32153" w:rsidRDefault="00103DC5">
      <w:r>
        <w:t xml:space="preserve">- Zakon o pomorskom dobru i morskim lukama NN 83/2023 </w:t>
      </w:r>
    </w:p>
    <w:p w:rsidR="00B32153" w:rsidRDefault="00103DC5">
      <w:r>
        <w:t xml:space="preserve">- Zakon o nadzoru državne granice  </w:t>
      </w:r>
    </w:p>
    <w:p w:rsidR="00B32153" w:rsidRDefault="00103DC5">
      <w:r>
        <w:t>- Nacionalni plan oporavka i otpornosti 2021.-2026., Komponenta 1. Gospodarstvo, Podkomponenta 1.4. Razvoj konkurentnog, energetski održivog i učinkovitog prometnog sustava,  Reforma pomorstva i unutarnje plovidbe, Investicija Program modernizacije luka otvorenih za javni promet C1.4. R3-I1.</w:t>
      </w:r>
    </w:p>
    <w:tbl>
      <w:tblPr>
        <w:tblStyle w:val="StilTablice"/>
        <w:tblW w:w="10206" w:type="dxa"/>
        <w:jc w:val="center"/>
        <w:tblLook w:val="04A0" w:firstRow="1" w:lastRow="0" w:firstColumn="1" w:lastColumn="0" w:noHBand="0" w:noVBand="1"/>
      </w:tblPr>
      <w:tblGrid>
        <w:gridCol w:w="1468"/>
        <w:gridCol w:w="1555"/>
        <w:gridCol w:w="1562"/>
        <w:gridCol w:w="1562"/>
        <w:gridCol w:w="1562"/>
        <w:gridCol w:w="1527"/>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K754079</w:t>
            </w:r>
          </w:p>
        </w:tc>
        <w:tc>
          <w:tcPr>
            <w:tcW w:w="1632" w:type="dxa"/>
            <w:vAlign w:val="top"/>
          </w:tcPr>
          <w:p w:rsidR="00B32153" w:rsidRDefault="00103DC5">
            <w:pPr>
              <w:jc w:val="right"/>
            </w:pPr>
            <w:r>
              <w:t>00</w:t>
            </w:r>
          </w:p>
        </w:tc>
        <w:tc>
          <w:tcPr>
            <w:tcW w:w="1632" w:type="dxa"/>
            <w:vAlign w:val="top"/>
          </w:tcPr>
          <w:p w:rsidR="00B32153" w:rsidRDefault="00103DC5">
            <w:pPr>
              <w:jc w:val="right"/>
            </w:pPr>
            <w:r>
              <w:t>1.021.338</w:t>
            </w:r>
          </w:p>
        </w:tc>
        <w:tc>
          <w:tcPr>
            <w:tcW w:w="1632" w:type="dxa"/>
            <w:vAlign w:val="top"/>
          </w:tcPr>
          <w:p w:rsidR="00B32153" w:rsidRDefault="00103DC5">
            <w:pPr>
              <w:jc w:val="right"/>
            </w:pPr>
            <w:r>
              <w:t>8.236.189</w:t>
            </w:r>
          </w:p>
        </w:tc>
        <w:tc>
          <w:tcPr>
            <w:tcW w:w="1632" w:type="dxa"/>
            <w:vAlign w:val="top"/>
          </w:tcPr>
          <w:p w:rsidR="00B32153" w:rsidRDefault="00103DC5">
            <w:pPr>
              <w:jc w:val="right"/>
            </w:pPr>
            <w:r>
              <w:t>8.198.311</w:t>
            </w:r>
          </w:p>
        </w:tc>
        <w:tc>
          <w:tcPr>
            <w:tcW w:w="1632" w:type="dxa"/>
            <w:vAlign w:val="top"/>
          </w:tcPr>
          <w:p w:rsidR="00B32153" w:rsidRDefault="00103DC5">
            <w:pPr>
              <w:jc w:val="right"/>
            </w:pPr>
            <w:r>
              <w:t>00</w:t>
            </w:r>
          </w:p>
        </w:tc>
        <w:tc>
          <w:tcPr>
            <w:tcW w:w="510" w:type="dxa"/>
            <w:vAlign w:val="top"/>
          </w:tcPr>
          <w:p w:rsidR="00B32153" w:rsidRDefault="00103DC5">
            <w:pPr>
              <w:jc w:val="right"/>
            </w:pPr>
            <w:r>
              <w:t>806,4</w:t>
            </w:r>
          </w:p>
        </w:tc>
      </w:tr>
    </w:tbl>
    <w:p w:rsidR="00B32153" w:rsidRDefault="00B32153">
      <w:pPr>
        <w:jc w:val="left"/>
      </w:pPr>
    </w:p>
    <w:p w:rsidR="00B32153" w:rsidRDefault="00103DC5">
      <w:r>
        <w:lastRenderedPageBreak/>
        <w:t xml:space="preserve">Izgradnja putničkog  terminala nametnula se kao potreba u svrhu razvijanja konkurentnosti luke Split, a ujedno će znatno olakšati prihvat većeg broja putnika s obližnjih otoka, jadransko-jonske makro regije i okolice Grada koji prolaze kroz Split. Novi terminal  će biti smješten južno od postojećeg terminala i bit će neposredno namijenjen prijevozu lokalnih putnika i turista s lokacije dvaju vezova koji su izgrađeni  na vanjskoj strani lukobrana Bazena Gradske luke te vezova u unutar samoga Bazena.  </w:t>
      </w:r>
    </w:p>
    <w:p w:rsidR="00B32153" w:rsidRDefault="00103DC5">
      <w:r>
        <w:t xml:space="preserve">Terminal će se graditi sukladno propisima potrebnim za implementaciju buduće Schengenske granične kontrole, kao i  granične kontrole MUP-a i  Carine, a osim prostora za Schengen sadržavati će i  upravnu zgradu sa lučkim operativnom centrom, prostorije za pilotsku službu, priveza i odveza brodova,VTS. Osim suvremenog prostora, novi ulazni kompleks podrazumijeva adekvatnu opremu i informatičke kapacitete koji će omogućiti ubrzavanje i optimiziranje poslovnih procesa svih sudionika lučke zajednice. Osiguravanjem ovakvog prostora gdje bi sve službe bile na jednom mjestu u mnogome bi se osigurao bolji, brži, sigurniji i kvalitetniji postupak prihvata brodova, te bi se značajno povećala sigurnost pomorskog prometa. Ukupna vrijednost ulaganja u 2024 i 2025. godini iznosi  16.434.500 EUR. </w:t>
      </w:r>
    </w:p>
    <w:p w:rsidR="00B32153" w:rsidRDefault="00103DC5">
      <w:r>
        <w:t>Financiranje Projekta izgradnje novog  putničkog terminala u Gradskoj luci u Splitu će se financirati iz sredstava NPOO u iznosu od  6.798.350 EUR, dok će se ostala sredstva za završetak investicije osigurati iz Državnog proračuna.</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Stupanj izgrađenosti terminala</w:t>
            </w:r>
          </w:p>
        </w:tc>
        <w:tc>
          <w:tcPr>
            <w:tcW w:w="2245" w:type="dxa"/>
            <w:vAlign w:val="top"/>
          </w:tcPr>
          <w:p w:rsidR="00B32153" w:rsidRDefault="00103DC5">
            <w:pPr>
              <w:pStyle w:val="CellColumn"/>
              <w:jc w:val="left"/>
            </w:pPr>
            <w:r>
              <w:rPr>
                <w:rFonts w:cs="Times New Roman"/>
              </w:rPr>
              <w:t>Završetkom izgradnje terminala, povećat će se kapaciteti  javnih i poslovnih prostora za potrebe putnika i novog graničnog prijelaza</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50</w:t>
            </w:r>
          </w:p>
        </w:tc>
        <w:tc>
          <w:tcPr>
            <w:tcW w:w="918" w:type="dxa"/>
          </w:tcPr>
          <w:p w:rsidR="00B32153" w:rsidRDefault="00103DC5">
            <w:pPr>
              <w:jc w:val="center"/>
            </w:pPr>
            <w:r>
              <w:t>100</w:t>
            </w:r>
          </w:p>
        </w:tc>
        <w:tc>
          <w:tcPr>
            <w:tcW w:w="918" w:type="dxa"/>
          </w:tcPr>
          <w:p w:rsidR="00B32153" w:rsidRDefault="00B32153">
            <w:pPr>
              <w:jc w:val="left"/>
            </w:pPr>
          </w:p>
        </w:tc>
      </w:tr>
    </w:tbl>
    <w:p w:rsidR="00B32153" w:rsidRDefault="00B32153">
      <w:pPr>
        <w:jc w:val="left"/>
      </w:pPr>
      <w:bookmarkStart w:id="0" w:name="_GoBack"/>
      <w:bookmarkEnd w:id="0"/>
    </w:p>
    <w:p w:rsidR="00B32153" w:rsidRDefault="00103DC5">
      <w:pPr>
        <w:pStyle w:val="Naslov4"/>
      </w:pPr>
      <w:r>
        <w:t>K754080 KONKURENTNOST I KOHEZIJA 2021. - 2027.</w:t>
      </w:r>
    </w:p>
    <w:p w:rsidR="00B32153" w:rsidRDefault="00103DC5">
      <w:pPr>
        <w:pStyle w:val="Naslov8"/>
        <w:jc w:val="left"/>
      </w:pPr>
      <w:r>
        <w:t>Zakonske i druge pravne osnove</w:t>
      </w:r>
    </w:p>
    <w:p w:rsidR="00B32153" w:rsidRDefault="00103DC5">
      <w:r>
        <w:t xml:space="preserve">- Zakon o pomorskom dobru i morskim lukama 83/2023 </w:t>
      </w:r>
    </w:p>
    <w:p w:rsidR="00B32153" w:rsidRDefault="00103DC5">
      <w:r>
        <w:t xml:space="preserve">- Nova financijska omotnica za razdoblje 2021 -2027 godine   </w:t>
      </w:r>
    </w:p>
    <w:p w:rsidR="00B32153" w:rsidRDefault="00103DC5">
      <w:r>
        <w:t xml:space="preserve">- Zakon o strateškim investicijskim projektima RH  </w:t>
      </w:r>
    </w:p>
    <w:p w:rsidR="00B32153" w:rsidRDefault="00103DC5">
      <w:r>
        <w:t xml:space="preserve">- Odluka Vlade RH o proglašenju projekta „Rekonstrukcija i proširenje Sjeverne luke na lučkom području Vranjičko-solinskog bazena pod upravom Lučke uprave Split“ strateškim investicijskim projektom Republike Hrvatske  </w:t>
      </w:r>
    </w:p>
    <w:p w:rsidR="00B32153" w:rsidRDefault="00103DC5">
      <w:r>
        <w:t>- Operativni program „Konkurentnost i kohezija 2021. – 2027.</w:t>
      </w:r>
    </w:p>
    <w:tbl>
      <w:tblPr>
        <w:tblStyle w:val="StilTablice"/>
        <w:tblW w:w="10206" w:type="dxa"/>
        <w:jc w:val="center"/>
        <w:tblLook w:val="04A0" w:firstRow="1" w:lastRow="0" w:firstColumn="1" w:lastColumn="0" w:noHBand="0" w:noVBand="1"/>
      </w:tblPr>
      <w:tblGrid>
        <w:gridCol w:w="1465"/>
        <w:gridCol w:w="1550"/>
        <w:gridCol w:w="1520"/>
        <w:gridCol w:w="1567"/>
        <w:gridCol w:w="1567"/>
        <w:gridCol w:w="1567"/>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K754080</w:t>
            </w:r>
          </w:p>
        </w:tc>
        <w:tc>
          <w:tcPr>
            <w:tcW w:w="1632" w:type="dxa"/>
            <w:vAlign w:val="top"/>
          </w:tcPr>
          <w:p w:rsidR="00B32153" w:rsidRDefault="00103DC5">
            <w:pPr>
              <w:jc w:val="right"/>
            </w:pPr>
            <w:r>
              <w:t>00</w:t>
            </w:r>
          </w:p>
        </w:tc>
        <w:tc>
          <w:tcPr>
            <w:tcW w:w="1632" w:type="dxa"/>
            <w:vAlign w:val="top"/>
          </w:tcPr>
          <w:p w:rsidR="00B32153" w:rsidRDefault="00103DC5">
            <w:pPr>
              <w:jc w:val="right"/>
            </w:pPr>
            <w:r>
              <w:t>1.327</w:t>
            </w:r>
          </w:p>
        </w:tc>
        <w:tc>
          <w:tcPr>
            <w:tcW w:w="1632" w:type="dxa"/>
            <w:vAlign w:val="top"/>
          </w:tcPr>
          <w:p w:rsidR="00B32153" w:rsidRDefault="00103DC5">
            <w:pPr>
              <w:jc w:val="right"/>
            </w:pPr>
            <w:r>
              <w:t>14.150.658</w:t>
            </w:r>
          </w:p>
        </w:tc>
        <w:tc>
          <w:tcPr>
            <w:tcW w:w="1632" w:type="dxa"/>
            <w:vAlign w:val="top"/>
          </w:tcPr>
          <w:p w:rsidR="00B32153" w:rsidRDefault="00103DC5">
            <w:pPr>
              <w:jc w:val="right"/>
            </w:pPr>
            <w:r>
              <w:t>17.408.675</w:t>
            </w:r>
          </w:p>
        </w:tc>
        <w:tc>
          <w:tcPr>
            <w:tcW w:w="1632" w:type="dxa"/>
            <w:vAlign w:val="top"/>
          </w:tcPr>
          <w:p w:rsidR="00B32153" w:rsidRDefault="00103DC5">
            <w:pPr>
              <w:jc w:val="right"/>
            </w:pPr>
            <w:r>
              <w:t>28.126.449</w:t>
            </w:r>
          </w:p>
        </w:tc>
        <w:tc>
          <w:tcPr>
            <w:tcW w:w="510" w:type="dxa"/>
            <w:vAlign w:val="top"/>
          </w:tcPr>
          <w:p w:rsidR="00B32153" w:rsidRDefault="00103DC5">
            <w:pPr>
              <w:jc w:val="right"/>
            </w:pPr>
            <w:r>
              <w:t>1066364,6</w:t>
            </w:r>
          </w:p>
        </w:tc>
      </w:tr>
    </w:tbl>
    <w:p w:rsidR="00B32153" w:rsidRDefault="00B32153">
      <w:pPr>
        <w:jc w:val="left"/>
      </w:pPr>
    </w:p>
    <w:p w:rsidR="00B32153" w:rsidRDefault="00103DC5">
      <w:r>
        <w:t xml:space="preserve">Predmetna aktivnost se sastoji od tri potprojekta: </w:t>
      </w:r>
    </w:p>
    <w:p w:rsidR="00B32153" w:rsidRDefault="00103DC5">
      <w:r>
        <w:t xml:space="preserve">1. Rekonstrukcija i proširenje sjeverne luke- Stinice  </w:t>
      </w:r>
    </w:p>
    <w:p w:rsidR="00B32153" w:rsidRDefault="00103DC5">
      <w:r>
        <w:t xml:space="preserve">    iznos investicije: 31.421.592 EUR </w:t>
      </w:r>
    </w:p>
    <w:p w:rsidR="00B32153" w:rsidRDefault="00103DC5">
      <w:r>
        <w:t xml:space="preserve">Projekt Rekonstrukcija i proširenje Sjeverne luke na području Vranjičko-solinskog bazena pod upravom Lučke uprave Split omogućiti  će prebacivanje teretnih kamiona za opskrbu otoka na novoizgrađenu infrastrukturu u Vranjičko-solinskom bazenu na području Stinice. Unaprjeđenje infrastrukture postići će se proširenjem Luke Split u Vranjičko-solinskom bazenu gdje će se proširiti operativna obala sa ukupno sedam vezova od čega šest za ro-ro brodove i alternativnim opcijama korištenja vezova. Projektom će se smanjiti zagušenje unutar bazena Gradska luka i u centru grada Splita. Na taj će se način smanjiti protok sadašnjeg i potencijalnog prometa prema Bazenu Gradska </w:t>
      </w:r>
      <w:r>
        <w:lastRenderedPageBreak/>
        <w:t xml:space="preserve">luka i iz bazena Gradska luka luke Split za više od trećinu i tako osloboditi bazen Gradska luka u centru grada Splita isključivo za putnički promet dok će se teret iz bazena Gradska luka premjestiti u teretni Vranjičko-solinski bazen. Više će se goriva uštediti kad kamioni ne budu išli kroz središte Splita nego što se dodatno potroši duljim plovnim putem do Vranjičko-solinskog bazena. Smanjenjem emisije stakleničkih plinova dat će se znatan doprinos zaštiti okoliša i borbi protiv klimatskih promjena. Projekt je uvršten u popis Strateških projekata Republike Hrvatske od strane Vlade Republike Hrvatske.   </w:t>
      </w:r>
    </w:p>
    <w:p w:rsidR="00B32153" w:rsidRDefault="00103DC5">
      <w:r>
        <w:t xml:space="preserve">2.  Rekonstrukcija i proširenje Gata sv. Petra u Gradskoj luci Split </w:t>
      </w:r>
    </w:p>
    <w:p w:rsidR="00B32153" w:rsidRDefault="00103DC5">
      <w:r>
        <w:t xml:space="preserve">     iznos investicije: 24.179.427 EUR </w:t>
      </w:r>
    </w:p>
    <w:p w:rsidR="00B32153" w:rsidRDefault="00103DC5">
      <w:r>
        <w:t xml:space="preserve">Projektom je predviđeno proširenje Gata Sv. Petra sa sjeverne strane te produljenje za 53 metra. Ukupno je predviđeno povećanje operativne površine za 5350 metara četvornih, te povećanje broja ro-ro rampi za trajekte na Gatu sv. Petra s tri na pet, što će doprinijeti poboljšanju protočnosti putnika i vozila. To će biti dva veza u dužini od 100 metara, i po jedan vez u dužini od 108 metara, 147 metara i 188 metara) s pet rampi ( jedna u širini od 30 metara i četiri rampe u širini od 20 metara). Predmetna obalna konstrukcija proširenja gata je projektirana kao sustav armiranobetonskih ploča oslonjenih na sustav armiranobetonskih okvira na razmaku oko deset metara. Širina proširenja gata je promjenljive veličine i kreće se do 45 metara. Na dijelu produženja gata, da bi se smanjila visina vala u luci potrebno je u podmorskom dijelu između stupova izraditi armiranobetonski element s pregradom. Na elementima obalne konstrukcije je predviđen prostor za prolaz instalacija vode i struje. Na sjevernoj i južnoj strani postojećeg obalnog zida gata Sv. Petra se planira sanacija obalnog zida Bit će postavljeni modularni objekti sanitarnog čvora, biljetarnice, garderobe i ugostiteljskog objekta – šanka i izvedbu pokretne tende, s pratećim instalacijama i opremom. </w:t>
      </w:r>
    </w:p>
    <w:p w:rsidR="00B32153" w:rsidRDefault="00103DC5">
      <w:r>
        <w:t xml:space="preserve"> </w:t>
      </w:r>
    </w:p>
    <w:p w:rsidR="00B32153" w:rsidRDefault="00103DC5">
      <w:r>
        <w:t xml:space="preserve">3.Izgradnja putničko pomorskog terminala Resnik u lučkom području Kaštelanskog bazena D </w:t>
      </w:r>
    </w:p>
    <w:p w:rsidR="00B32153" w:rsidRDefault="00103DC5">
      <w:r>
        <w:t xml:space="preserve">   iznos investicije: 4.084.763 EUR </w:t>
      </w:r>
    </w:p>
    <w:p w:rsidR="00B32153" w:rsidRDefault="00103DC5">
      <w:r>
        <w:t xml:space="preserve"> </w:t>
      </w:r>
    </w:p>
    <w:p w:rsidR="00B32153" w:rsidRDefault="00103DC5">
      <w:r>
        <w:t>Izgradnjom novog gata dobit će se sezonsko pristanište za ukupno 2 plovila duljine do 40 m (katamaran). Tlocrtna duljina gata iznosi ukupno 53,0 m, te širina iznosi 6,0 m. Predmet zahvata uključuje uz realizaciju gata s vanjske strane nasutog lukobrana (okomito na postojeću obalu kao ljetni vez) i lučki iskop u nezaštićenom akvatoriju do dubine -5,30 m. Ukupna duljina zahvata na kojoj se izvodi produbljenje morskog dna za potrebe manevarskog prostora plovila na vanjskom vezu je cca 170 m (mjereno okomito od obale). Prema projektu, postojeći obalni zid produljit će se za cca 52,27 m te će zadržati širinu postojeće obale (9 m). Njegovom izgradnjom dobit će se privez za jedan brod duljine do 40 m. Predviđeno je da to se to područje koristi za brzo-brodske linije (katamarani) za putnike koji dolaze u Zračnu luku Split ili odlaze iz Zračne luke Split, kako bi se rasteretio cestovni promet premještanjem na more i time dao doprinos zaštiti okoliša poglavito smanjenju emisija stakleničkih plinova. Umjesto jednog područje će imati četiri veza za katamarane.</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Stupanj izgrađenosti obale u Sjevernoj luci</w:t>
            </w:r>
          </w:p>
        </w:tc>
        <w:tc>
          <w:tcPr>
            <w:tcW w:w="2245" w:type="dxa"/>
            <w:vAlign w:val="top"/>
          </w:tcPr>
          <w:p w:rsidR="00B32153" w:rsidRDefault="00103DC5">
            <w:pPr>
              <w:pStyle w:val="CellColumn"/>
              <w:jc w:val="left"/>
            </w:pPr>
            <w:r>
              <w:rPr>
                <w:rFonts w:cs="Times New Roman"/>
              </w:rPr>
              <w:t>Završetkom rekonstrukcije obale, povećat će se kapaciteti za prihvat putnika u cilju poboljšanja lučke infrastrukture</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Splut</w:t>
            </w:r>
          </w:p>
        </w:tc>
        <w:tc>
          <w:tcPr>
            <w:tcW w:w="918" w:type="dxa"/>
          </w:tcPr>
          <w:p w:rsidR="00B32153" w:rsidRDefault="00103DC5">
            <w:pPr>
              <w:jc w:val="center"/>
            </w:pPr>
            <w:r>
              <w:t>20%</w:t>
            </w:r>
          </w:p>
        </w:tc>
        <w:tc>
          <w:tcPr>
            <w:tcW w:w="918" w:type="dxa"/>
          </w:tcPr>
          <w:p w:rsidR="00B32153" w:rsidRDefault="00103DC5">
            <w:pPr>
              <w:jc w:val="center"/>
            </w:pPr>
            <w:r>
              <w:t>40%</w:t>
            </w:r>
          </w:p>
        </w:tc>
        <w:tc>
          <w:tcPr>
            <w:tcW w:w="918" w:type="dxa"/>
          </w:tcPr>
          <w:p w:rsidR="00B32153" w:rsidRDefault="00103DC5">
            <w:pPr>
              <w:jc w:val="center"/>
            </w:pPr>
            <w:r>
              <w:t>80%</w:t>
            </w:r>
          </w:p>
        </w:tc>
      </w:tr>
    </w:tbl>
    <w:p w:rsidR="00B32153" w:rsidRDefault="00B32153">
      <w:pPr>
        <w:jc w:val="left"/>
      </w:pPr>
    </w:p>
    <w:p w:rsidR="00B32153" w:rsidRDefault="00103DC5">
      <w:pPr>
        <w:pStyle w:val="Naslov4"/>
      </w:pPr>
      <w:r>
        <w:t>K754086 UVOĐENJE INTELIGENTNIH TRANSPORTNIH SUSTAVA NA FUNKCIONALNOM PROMETNOM PODRUČJU GRADA SPLITA</w:t>
      </w:r>
    </w:p>
    <w:p w:rsidR="00B32153" w:rsidRDefault="00103DC5">
      <w:pPr>
        <w:pStyle w:val="Naslov8"/>
        <w:jc w:val="left"/>
      </w:pPr>
      <w:r>
        <w:t>Zakonske i druge pravne osnove</w:t>
      </w:r>
    </w:p>
    <w:p w:rsidR="00B32153" w:rsidRDefault="00103DC5">
      <w:r>
        <w:t xml:space="preserve">- Zakon o pomorskom dobru i morskim lukama NN83/2023 </w:t>
      </w:r>
    </w:p>
    <w:p w:rsidR="00B32153" w:rsidRDefault="00103DC5">
      <w:r>
        <w:t xml:space="preserve">- OP Konkurentnost i kohezija, prioritetna os 7. Povezanost i mobilnost  </w:t>
      </w:r>
    </w:p>
    <w:p w:rsidR="00B32153" w:rsidRDefault="00103DC5">
      <w:r>
        <w:lastRenderedPageBreak/>
        <w:t>- Zakon o uspostavi institucionalnog okvira za provedbu europskih strukturnih i investicijskih fondova u Republici Hrvatskoj u razdoblju 2014-2020 (NN 92/14)</w:t>
      </w:r>
    </w:p>
    <w:tbl>
      <w:tblPr>
        <w:tblStyle w:val="StilTablice"/>
        <w:tblW w:w="10206" w:type="dxa"/>
        <w:jc w:val="center"/>
        <w:tblLook w:val="04A0" w:firstRow="1" w:lastRow="0" w:firstColumn="1" w:lastColumn="0" w:noHBand="0" w:noVBand="1"/>
      </w:tblPr>
      <w:tblGrid>
        <w:gridCol w:w="1475"/>
        <w:gridCol w:w="1565"/>
        <w:gridCol w:w="1549"/>
        <w:gridCol w:w="1549"/>
        <w:gridCol w:w="1549"/>
        <w:gridCol w:w="1549"/>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K754086</w:t>
            </w:r>
          </w:p>
        </w:tc>
        <w:tc>
          <w:tcPr>
            <w:tcW w:w="1632" w:type="dxa"/>
            <w:vAlign w:val="top"/>
          </w:tcPr>
          <w:p w:rsidR="00B32153" w:rsidRDefault="00103DC5">
            <w:pPr>
              <w:jc w:val="right"/>
            </w:pPr>
            <w:r>
              <w:t>00</w:t>
            </w:r>
          </w:p>
        </w:tc>
        <w:tc>
          <w:tcPr>
            <w:tcW w:w="1632" w:type="dxa"/>
            <w:vAlign w:val="top"/>
          </w:tcPr>
          <w:p w:rsidR="00B32153" w:rsidRDefault="00103DC5">
            <w:pPr>
              <w:jc w:val="right"/>
            </w:pPr>
            <w:r>
              <w:t>15.150</w:t>
            </w:r>
          </w:p>
        </w:tc>
        <w:tc>
          <w:tcPr>
            <w:tcW w:w="1632" w:type="dxa"/>
            <w:vAlign w:val="top"/>
          </w:tcPr>
          <w:p w:rsidR="00B32153" w:rsidRDefault="00103DC5">
            <w:pPr>
              <w:jc w:val="right"/>
            </w:pPr>
            <w:r>
              <w:t>15.150</w:t>
            </w:r>
          </w:p>
        </w:tc>
        <w:tc>
          <w:tcPr>
            <w:tcW w:w="1632" w:type="dxa"/>
            <w:vAlign w:val="top"/>
          </w:tcPr>
          <w:p w:rsidR="00B32153" w:rsidRDefault="00103DC5">
            <w:pPr>
              <w:jc w:val="right"/>
            </w:pPr>
            <w:r>
              <w:t>15.150</w:t>
            </w:r>
          </w:p>
        </w:tc>
        <w:tc>
          <w:tcPr>
            <w:tcW w:w="1632" w:type="dxa"/>
            <w:vAlign w:val="top"/>
          </w:tcPr>
          <w:p w:rsidR="00B32153" w:rsidRDefault="00103DC5">
            <w:pPr>
              <w:jc w:val="right"/>
            </w:pPr>
            <w:r>
              <w:t>15.150</w:t>
            </w:r>
          </w:p>
        </w:tc>
        <w:tc>
          <w:tcPr>
            <w:tcW w:w="510" w:type="dxa"/>
            <w:vAlign w:val="top"/>
          </w:tcPr>
          <w:p w:rsidR="00B32153" w:rsidRDefault="00103DC5">
            <w:pPr>
              <w:jc w:val="right"/>
            </w:pPr>
            <w:r>
              <w:t>100,0</w:t>
            </w:r>
          </w:p>
        </w:tc>
      </w:tr>
    </w:tbl>
    <w:p w:rsidR="00B32153" w:rsidRDefault="00B32153">
      <w:pPr>
        <w:jc w:val="left"/>
      </w:pPr>
    </w:p>
    <w:p w:rsidR="00B32153" w:rsidRDefault="00103DC5">
      <w:r>
        <w:t>Ugovorom o dodjeli bespovratnih sredstava za projekte financirane iz europskih strukturnih i investicijskih fondova u financijskom razdoblju 2014-2020 u suradnji Ministarstva mora , prometa i infrastrukture te Središnje agencije za financiranje i ugovaranje programa i projekata EU u kojem  je korisnik Grad Split  sa partnerima odobreno je ukupno 12.757.241,01 EUR prihvatljivih troškova , od čega se 85%  odnosi na bespovratna sredstva. Projekt nije završen i planirano je produženje trajanja do 31.12.2027. godine. Cilj projekta:  Inteligentni transportni sustavi(ITS)predstavljaju upravljačku i informacijsko-komunikacijsku  nadgradnju klasičnog sustava prometa koji će na funkcionalnom prometnom području grada Splita doprinijeti stvaranju učinkovitijeg prometnog sustava  u vidu povećanja sigurnosti , produktivnosti , prometne efiksnosti i održivosti  te smanjenju prometnih zagušenja. Lučka uprava Split sudjeluje u projektu angažmanom radnika na poziciji Administrator projekta 2. Ukupno odobrena sredstva za Lučku upravu se odnose na  podmirivanje troškova plaća za radnika, temeljem njegove angažiranosti u projektu.</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Stupanj implementacije informacijsko -komunikacijskog sustava i opreme</w:t>
            </w:r>
          </w:p>
        </w:tc>
        <w:tc>
          <w:tcPr>
            <w:tcW w:w="2245" w:type="dxa"/>
            <w:vAlign w:val="top"/>
          </w:tcPr>
          <w:p w:rsidR="00B32153" w:rsidRDefault="00103DC5">
            <w:pPr>
              <w:pStyle w:val="CellColumn"/>
              <w:jc w:val="left"/>
            </w:pPr>
            <w:r>
              <w:rPr>
                <w:rFonts w:cs="Times New Roman"/>
              </w:rPr>
              <w:t>podizanje razine kvalitete prometne usluge uvođenje inteligentnog prometnog sustava</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10</w:t>
            </w:r>
          </w:p>
        </w:tc>
        <w:tc>
          <w:tcPr>
            <w:tcW w:w="918" w:type="dxa"/>
          </w:tcPr>
          <w:p w:rsidR="00B32153" w:rsidRDefault="00103DC5">
            <w:pPr>
              <w:jc w:val="center"/>
            </w:pPr>
            <w:r>
              <w:t>30</w:t>
            </w:r>
          </w:p>
        </w:tc>
        <w:tc>
          <w:tcPr>
            <w:tcW w:w="918" w:type="dxa"/>
          </w:tcPr>
          <w:p w:rsidR="00B32153" w:rsidRDefault="00103DC5">
            <w:pPr>
              <w:jc w:val="center"/>
            </w:pPr>
            <w:r>
              <w:t>50</w:t>
            </w:r>
          </w:p>
        </w:tc>
      </w:tr>
    </w:tbl>
    <w:p w:rsidR="00B32153" w:rsidRDefault="00B32153">
      <w:pPr>
        <w:jc w:val="left"/>
      </w:pPr>
    </w:p>
    <w:p w:rsidR="00B32153" w:rsidRDefault="00103DC5">
      <w:pPr>
        <w:pStyle w:val="Naslov3"/>
      </w:pPr>
      <w:r>
        <w:rPr>
          <w:rFonts w:cs="Times New Roman"/>
        </w:rPr>
        <w:t>3116 RAZVOJ SUSTAVA POMORSKOG PROMETA, POMORSKOG DOBRA I LUKA, TE ZAŠTITA OKOLIŠA OD ONEČIŠĆENJA S POMORSKIH OBJEKATA</w:t>
      </w:r>
    </w:p>
    <w:tbl>
      <w:tblPr>
        <w:tblStyle w:val="StilTablice"/>
        <w:tblW w:w="10206" w:type="dxa"/>
        <w:jc w:val="center"/>
        <w:tblLook w:val="04A0" w:firstRow="1" w:lastRow="0" w:firstColumn="1" w:lastColumn="0" w:noHBand="0" w:noVBand="1"/>
      </w:tblPr>
      <w:tblGrid>
        <w:gridCol w:w="1431"/>
        <w:gridCol w:w="1561"/>
        <w:gridCol w:w="1561"/>
        <w:gridCol w:w="1561"/>
        <w:gridCol w:w="1561"/>
        <w:gridCol w:w="1561"/>
        <w:gridCol w:w="970"/>
      </w:tblGrid>
      <w:tr w:rsidR="00B32153">
        <w:trPr>
          <w:jc w:val="center"/>
        </w:trPr>
        <w:tc>
          <w:tcPr>
            <w:tcW w:w="1530" w:type="dxa"/>
            <w:shd w:val="clear" w:color="auto" w:fill="B5C0D8"/>
          </w:tcPr>
          <w:p w:rsidR="00B32153" w:rsidRDefault="00B32153">
            <w:pPr>
              <w:pStyle w:val="CellHeader"/>
            </w:pPr>
          </w:p>
        </w:tc>
        <w:tc>
          <w:tcPr>
            <w:tcW w:w="1632" w:type="dxa"/>
            <w:shd w:val="clear" w:color="auto" w:fill="B5C0D8"/>
          </w:tcPr>
          <w:p w:rsidR="00B32153" w:rsidRDefault="00103DC5">
            <w:pPr>
              <w:pStyle w:val="CellHeader"/>
            </w:pPr>
            <w:r>
              <w:rPr>
                <w:rFonts w:cs="Times New Roman"/>
              </w:rPr>
              <w:t>Izvršenje 2022.</w:t>
            </w:r>
          </w:p>
        </w:tc>
        <w:tc>
          <w:tcPr>
            <w:tcW w:w="1632" w:type="dxa"/>
            <w:shd w:val="clear" w:color="auto" w:fill="B5C0D8"/>
          </w:tcPr>
          <w:p w:rsidR="00B32153" w:rsidRDefault="00103DC5">
            <w:pPr>
              <w:pStyle w:val="CellHeader"/>
            </w:pPr>
            <w:r>
              <w:rPr>
                <w:rFonts w:cs="Times New Roman"/>
              </w:rPr>
              <w:t>Plan 2023.</w:t>
            </w:r>
          </w:p>
        </w:tc>
        <w:tc>
          <w:tcPr>
            <w:tcW w:w="1632" w:type="dxa"/>
            <w:shd w:val="clear" w:color="auto" w:fill="B5C0D8"/>
          </w:tcPr>
          <w:p w:rsidR="00B32153" w:rsidRDefault="00103DC5">
            <w:pPr>
              <w:pStyle w:val="CellHeader"/>
            </w:pPr>
            <w:r>
              <w:rPr>
                <w:rFonts w:cs="Times New Roman"/>
              </w:rPr>
              <w:t>Plan 2024.</w:t>
            </w:r>
          </w:p>
        </w:tc>
        <w:tc>
          <w:tcPr>
            <w:tcW w:w="1632" w:type="dxa"/>
            <w:shd w:val="clear" w:color="auto" w:fill="B5C0D8"/>
          </w:tcPr>
          <w:p w:rsidR="00B32153" w:rsidRDefault="00103DC5">
            <w:pPr>
              <w:pStyle w:val="CellHeader"/>
            </w:pPr>
            <w:r>
              <w:rPr>
                <w:rFonts w:cs="Times New Roman"/>
              </w:rPr>
              <w:t>Plan 2025.</w:t>
            </w:r>
          </w:p>
        </w:tc>
        <w:tc>
          <w:tcPr>
            <w:tcW w:w="1632" w:type="dxa"/>
            <w:shd w:val="clear" w:color="auto" w:fill="B5C0D8"/>
          </w:tcPr>
          <w:p w:rsidR="00B32153" w:rsidRDefault="00103DC5">
            <w:pPr>
              <w:pStyle w:val="CellHead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3116</w:t>
            </w:r>
          </w:p>
        </w:tc>
        <w:tc>
          <w:tcPr>
            <w:tcW w:w="1632" w:type="dxa"/>
            <w:vAlign w:val="top"/>
          </w:tcPr>
          <w:p w:rsidR="00B32153" w:rsidRDefault="00103DC5">
            <w:pPr>
              <w:jc w:val="right"/>
            </w:pPr>
            <w:r>
              <w:t>7.558.243</w:t>
            </w:r>
          </w:p>
        </w:tc>
        <w:tc>
          <w:tcPr>
            <w:tcW w:w="1632" w:type="dxa"/>
            <w:vAlign w:val="top"/>
          </w:tcPr>
          <w:p w:rsidR="00B32153" w:rsidRDefault="00103DC5">
            <w:pPr>
              <w:jc w:val="right"/>
            </w:pPr>
            <w:r>
              <w:t>8.929.369</w:t>
            </w:r>
          </w:p>
        </w:tc>
        <w:tc>
          <w:tcPr>
            <w:tcW w:w="1632" w:type="dxa"/>
            <w:vAlign w:val="top"/>
          </w:tcPr>
          <w:p w:rsidR="00B32153" w:rsidRDefault="00103DC5">
            <w:pPr>
              <w:jc w:val="right"/>
            </w:pPr>
            <w:r>
              <w:t>9.371.810</w:t>
            </w:r>
          </w:p>
        </w:tc>
        <w:tc>
          <w:tcPr>
            <w:tcW w:w="1632" w:type="dxa"/>
            <w:vAlign w:val="top"/>
          </w:tcPr>
          <w:p w:rsidR="00B32153" w:rsidRDefault="00103DC5">
            <w:pPr>
              <w:jc w:val="right"/>
            </w:pPr>
            <w:r>
              <w:t>6.669.705</w:t>
            </w:r>
          </w:p>
        </w:tc>
        <w:tc>
          <w:tcPr>
            <w:tcW w:w="1632" w:type="dxa"/>
            <w:vAlign w:val="top"/>
          </w:tcPr>
          <w:p w:rsidR="00B32153" w:rsidRDefault="00103DC5">
            <w:pPr>
              <w:jc w:val="right"/>
            </w:pPr>
            <w:r>
              <w:t>7.342.205</w:t>
            </w:r>
          </w:p>
        </w:tc>
        <w:tc>
          <w:tcPr>
            <w:tcW w:w="510" w:type="dxa"/>
            <w:vAlign w:val="top"/>
          </w:tcPr>
          <w:p w:rsidR="00B32153" w:rsidRDefault="00103DC5">
            <w:pPr>
              <w:jc w:val="right"/>
            </w:pPr>
            <w:r>
              <w:t>105,0</w:t>
            </w:r>
          </w:p>
        </w:tc>
      </w:tr>
    </w:tbl>
    <w:p w:rsidR="00B32153" w:rsidRDefault="00B32153">
      <w:pPr>
        <w:jc w:val="left"/>
      </w:pPr>
    </w:p>
    <w:p w:rsidR="00B32153" w:rsidRDefault="00103DC5">
      <w:pPr>
        <w:pStyle w:val="Naslov8"/>
        <w:jc w:val="left"/>
      </w:pPr>
      <w:r>
        <w:t>Cilj 1. Unaprijediti sustav pomorskog prometa te učinkovito i sustavno upravljati pomorskim dobrom</w:t>
      </w:r>
    </w:p>
    <w:p w:rsidR="00B32153" w:rsidRDefault="00103DC5">
      <w:pPr>
        <w:pStyle w:val="Naslov8"/>
        <w:jc w:val="left"/>
      </w:pPr>
      <w:r>
        <w:t>Pokazatelji učinka</w:t>
      </w:r>
    </w:p>
    <w:tbl>
      <w:tblPr>
        <w:tblStyle w:val="StilTablice"/>
        <w:tblW w:w="10206" w:type="dxa"/>
        <w:jc w:val="center"/>
        <w:tblLook w:val="04A0" w:firstRow="1" w:lastRow="0" w:firstColumn="1" w:lastColumn="0" w:noHBand="0" w:noVBand="1"/>
      </w:tblPr>
      <w:tblGrid>
        <w:gridCol w:w="2260"/>
        <w:gridCol w:w="2260"/>
        <w:gridCol w:w="1066"/>
        <w:gridCol w:w="924"/>
        <w:gridCol w:w="924"/>
        <w:gridCol w:w="924"/>
        <w:gridCol w:w="924"/>
        <w:gridCol w:w="924"/>
      </w:tblGrid>
      <w:tr w:rsidR="00B32153">
        <w:trPr>
          <w:jc w:val="center"/>
        </w:trPr>
        <w:tc>
          <w:tcPr>
            <w:tcW w:w="2245" w:type="dxa"/>
            <w:shd w:val="clear" w:color="auto" w:fill="B5C0D8"/>
          </w:tcPr>
          <w:p w:rsidR="00B32153" w:rsidRDefault="00103DC5">
            <w:pPr>
              <w:jc w:val="center"/>
            </w:pPr>
            <w:r>
              <w:t>Pokazatelj učinka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Povećanje prometa putnika</w:t>
            </w:r>
          </w:p>
        </w:tc>
        <w:tc>
          <w:tcPr>
            <w:tcW w:w="2245" w:type="dxa"/>
            <w:vAlign w:val="top"/>
          </w:tcPr>
          <w:p w:rsidR="00B32153" w:rsidRDefault="00103DC5">
            <w:pPr>
              <w:pStyle w:val="CellColumn"/>
              <w:jc w:val="left"/>
            </w:pPr>
            <w:r>
              <w:rPr>
                <w:rFonts w:cs="Times New Roman"/>
              </w:rPr>
              <w:t>Održivost konstantnog rasta prometa i kvalitete pružanja lučkih usluga.</w:t>
            </w:r>
          </w:p>
        </w:tc>
        <w:tc>
          <w:tcPr>
            <w:tcW w:w="918" w:type="dxa"/>
          </w:tcPr>
          <w:p w:rsidR="00B32153" w:rsidRDefault="00103DC5">
            <w:pPr>
              <w:jc w:val="center"/>
            </w:pPr>
            <w:r>
              <w:t>broj (u milijunima)</w:t>
            </w:r>
          </w:p>
        </w:tc>
        <w:tc>
          <w:tcPr>
            <w:tcW w:w="918" w:type="dxa"/>
          </w:tcPr>
          <w:p w:rsidR="00B32153" w:rsidRDefault="00103DC5">
            <w:pPr>
              <w:jc w:val="center"/>
            </w:pPr>
            <w:r>
              <w:t>4,7</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5</w:t>
            </w:r>
          </w:p>
        </w:tc>
        <w:tc>
          <w:tcPr>
            <w:tcW w:w="918" w:type="dxa"/>
          </w:tcPr>
          <w:p w:rsidR="00B32153" w:rsidRDefault="00103DC5">
            <w:pPr>
              <w:jc w:val="center"/>
            </w:pPr>
            <w:r>
              <w:t>5.2</w:t>
            </w:r>
          </w:p>
        </w:tc>
        <w:tc>
          <w:tcPr>
            <w:tcW w:w="918" w:type="dxa"/>
          </w:tcPr>
          <w:p w:rsidR="00B32153" w:rsidRDefault="00103DC5">
            <w:pPr>
              <w:jc w:val="center"/>
            </w:pPr>
            <w:r>
              <w:t>5,2</w:t>
            </w:r>
          </w:p>
        </w:tc>
      </w:tr>
    </w:tbl>
    <w:p w:rsidR="00B32153" w:rsidRDefault="00B32153">
      <w:pPr>
        <w:jc w:val="left"/>
      </w:pPr>
    </w:p>
    <w:p w:rsidR="00B32153" w:rsidRDefault="00103DC5">
      <w:pPr>
        <w:pStyle w:val="Naslov4"/>
      </w:pPr>
      <w:r>
        <w:lastRenderedPageBreak/>
        <w:t>A754070 ADMINISTRACIJA I UPRAVLJANJE</w:t>
      </w:r>
    </w:p>
    <w:p w:rsidR="00B32153" w:rsidRDefault="00103DC5">
      <w:pPr>
        <w:pStyle w:val="Naslov8"/>
        <w:jc w:val="left"/>
      </w:pPr>
      <w:r>
        <w:t>Zakonske i druge pravne osnove</w:t>
      </w:r>
    </w:p>
    <w:p w:rsidR="00B32153" w:rsidRDefault="00103DC5">
      <w:r>
        <w:t xml:space="preserve">- Zakon o pomorskom dobru i morskim lukama  </w:t>
      </w:r>
    </w:p>
    <w:p w:rsidR="00B32153" w:rsidRDefault="00103DC5">
      <w:r>
        <w:t xml:space="preserve">- Odluka o osnivanju od 24.04.1997.  </w:t>
      </w:r>
    </w:p>
    <w:p w:rsidR="00B32153" w:rsidRDefault="00103DC5">
      <w:r>
        <w:t>- Statut Lučke uprave Split od 24.07.1997., s izmjenama</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A754070</w:t>
            </w:r>
          </w:p>
        </w:tc>
        <w:tc>
          <w:tcPr>
            <w:tcW w:w="1632" w:type="dxa"/>
            <w:vAlign w:val="top"/>
          </w:tcPr>
          <w:p w:rsidR="00B32153" w:rsidRDefault="00103DC5">
            <w:pPr>
              <w:jc w:val="right"/>
            </w:pPr>
            <w:r>
              <w:t>3.093.193</w:t>
            </w:r>
          </w:p>
        </w:tc>
        <w:tc>
          <w:tcPr>
            <w:tcW w:w="1632" w:type="dxa"/>
            <w:vAlign w:val="top"/>
          </w:tcPr>
          <w:p w:rsidR="00B32153" w:rsidRDefault="00103DC5">
            <w:pPr>
              <w:jc w:val="right"/>
            </w:pPr>
            <w:r>
              <w:t>3.464.027</w:t>
            </w:r>
          </w:p>
        </w:tc>
        <w:tc>
          <w:tcPr>
            <w:tcW w:w="1632" w:type="dxa"/>
            <w:vAlign w:val="top"/>
          </w:tcPr>
          <w:p w:rsidR="00B32153" w:rsidRDefault="00103DC5">
            <w:pPr>
              <w:jc w:val="right"/>
            </w:pPr>
            <w:r>
              <w:t>3.564.720</w:t>
            </w:r>
          </w:p>
        </w:tc>
        <w:tc>
          <w:tcPr>
            <w:tcW w:w="1632" w:type="dxa"/>
            <w:vAlign w:val="top"/>
          </w:tcPr>
          <w:p w:rsidR="00B32153" w:rsidRDefault="00103DC5">
            <w:pPr>
              <w:jc w:val="right"/>
            </w:pPr>
            <w:r>
              <w:t>2.903.226</w:t>
            </w:r>
          </w:p>
        </w:tc>
        <w:tc>
          <w:tcPr>
            <w:tcW w:w="1632" w:type="dxa"/>
            <w:vAlign w:val="top"/>
          </w:tcPr>
          <w:p w:rsidR="00B32153" w:rsidRDefault="00103DC5">
            <w:pPr>
              <w:jc w:val="right"/>
            </w:pPr>
            <w:r>
              <w:t>2.888.699</w:t>
            </w:r>
          </w:p>
        </w:tc>
        <w:tc>
          <w:tcPr>
            <w:tcW w:w="510" w:type="dxa"/>
            <w:vAlign w:val="top"/>
          </w:tcPr>
          <w:p w:rsidR="00B32153" w:rsidRDefault="00103DC5">
            <w:pPr>
              <w:jc w:val="right"/>
            </w:pPr>
            <w:r>
              <w:t>102,9</w:t>
            </w:r>
          </w:p>
        </w:tc>
      </w:tr>
    </w:tbl>
    <w:p w:rsidR="00B32153" w:rsidRDefault="00B32153">
      <w:pPr>
        <w:jc w:val="left"/>
      </w:pPr>
    </w:p>
    <w:p w:rsidR="00B32153" w:rsidRDefault="00103DC5">
      <w:r>
        <w:t xml:space="preserve">Ovom aktivnosti osiguravaju se sredstva za pokriće troškova plaća i ostalih troškova 45 zaposlenika Također, na aktivnosti se planiraju sredstva za pokriće materijalnih rashoda koji nastaju u redovnom poslovanju kao što su troškovi energije, troškovi zaštite na radu, komunalnih usluga, usluga čišćenja, pošte, prijevoza, uredskog materijala, službenih putovanja, intelektualnih usluga i slično. Na ovoj se aktivnosti također planiraju i sredstva za stručno usavršavanje zaposlenika i za preventivne sistematske preglede zaposlenika. </w:t>
      </w:r>
    </w:p>
    <w:p w:rsidR="00B32153" w:rsidRDefault="00103DC5">
      <w:r>
        <w:t xml:space="preserve">S obzirom na opći porast cijena uredskog materijala,  električne energije i goriva, kao i ostalih usluga, pod utjecajem inflacije, planirani rashodi su viši u 2024 godini.   </w:t>
      </w:r>
    </w:p>
    <w:p w:rsidR="00B32153" w:rsidRDefault="00103DC5">
      <w:r>
        <w:t xml:space="preserve">U 2024. godini rashodi se na ovoj aktivnosti sastoje od troškova zaposlenih radnika,koji uključuje plaće, naknade i troškove doprinosa za obvezna osiguranja i čine 51,3%  ukupno planiranih rashoda na ovoj aktivnosti. Materijalni rashodi sudjeluju 44%, a odnose se na nabavku uredskog materijala, režijske troškove, intelektualne i osobne usluge, troškovi naknade za rad članova Upravnog vijeća, a najveća stavka se odnosi na ostale usluge; čišćenja i pranja ,usluge čuvanja i sigurnosti luke.  </w:t>
      </w:r>
    </w:p>
    <w:p w:rsidR="00B32153" w:rsidRDefault="00103DC5">
      <w:r>
        <w:t xml:space="preserve">U 2025. godini rashodi za zaposlene su planirani na razini 2024. godine,  dok su  materijali troškovi niži i iznose 35% ukupno planiranih rashoda na ovoj aktivnosti. </w:t>
      </w:r>
    </w:p>
    <w:p w:rsidR="00B32153" w:rsidRDefault="00103DC5">
      <w:r>
        <w:t>U 2026. godini rashodi za zaposlene i materijalni rashodi su  planirani  na razini 2025. godine.</w:t>
      </w:r>
    </w:p>
    <w:p w:rsidR="00B32153" w:rsidRDefault="00103DC5">
      <w:pPr>
        <w:pStyle w:val="Naslov4"/>
      </w:pPr>
      <w:r>
        <w:t>A754071 GRADNJA I ODRŽAVANJE</w:t>
      </w:r>
    </w:p>
    <w:p w:rsidR="00B32153" w:rsidRDefault="00103DC5">
      <w:pPr>
        <w:pStyle w:val="Naslov8"/>
        <w:jc w:val="left"/>
      </w:pPr>
      <w:r>
        <w:t>Zakonske i druge pravne osnove</w:t>
      </w:r>
    </w:p>
    <w:p w:rsidR="00B32153" w:rsidRDefault="00103DC5">
      <w:r>
        <w:t>- Zakon o pomorskom dobru i morskim lukama</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A754071</w:t>
            </w:r>
          </w:p>
        </w:tc>
        <w:tc>
          <w:tcPr>
            <w:tcW w:w="1632" w:type="dxa"/>
            <w:vAlign w:val="top"/>
          </w:tcPr>
          <w:p w:rsidR="00B32153" w:rsidRDefault="00103DC5">
            <w:pPr>
              <w:jc w:val="right"/>
            </w:pPr>
            <w:r>
              <w:t>1.934.260</w:t>
            </w:r>
          </w:p>
        </w:tc>
        <w:tc>
          <w:tcPr>
            <w:tcW w:w="1632" w:type="dxa"/>
            <w:vAlign w:val="top"/>
          </w:tcPr>
          <w:p w:rsidR="00B32153" w:rsidRDefault="00103DC5">
            <w:pPr>
              <w:jc w:val="right"/>
            </w:pPr>
            <w:r>
              <w:t>2.852.554</w:t>
            </w:r>
          </w:p>
        </w:tc>
        <w:tc>
          <w:tcPr>
            <w:tcW w:w="1632" w:type="dxa"/>
            <w:vAlign w:val="top"/>
          </w:tcPr>
          <w:p w:rsidR="00B32153" w:rsidRDefault="00103DC5">
            <w:pPr>
              <w:jc w:val="right"/>
            </w:pPr>
            <w:r>
              <w:t>3.041.773</w:t>
            </w:r>
          </w:p>
        </w:tc>
        <w:tc>
          <w:tcPr>
            <w:tcW w:w="1632" w:type="dxa"/>
            <w:vAlign w:val="top"/>
          </w:tcPr>
          <w:p w:rsidR="00B32153" w:rsidRDefault="00103DC5">
            <w:pPr>
              <w:jc w:val="right"/>
            </w:pPr>
            <w:r>
              <w:t>1.154.732</w:t>
            </w:r>
          </w:p>
        </w:tc>
        <w:tc>
          <w:tcPr>
            <w:tcW w:w="1632" w:type="dxa"/>
            <w:vAlign w:val="top"/>
          </w:tcPr>
          <w:p w:rsidR="00B32153" w:rsidRDefault="00103DC5">
            <w:pPr>
              <w:jc w:val="right"/>
            </w:pPr>
            <w:r>
              <w:t>1.699.839</w:t>
            </w:r>
          </w:p>
        </w:tc>
        <w:tc>
          <w:tcPr>
            <w:tcW w:w="510" w:type="dxa"/>
            <w:vAlign w:val="top"/>
          </w:tcPr>
          <w:p w:rsidR="00B32153" w:rsidRDefault="00103DC5">
            <w:pPr>
              <w:jc w:val="right"/>
            </w:pPr>
            <w:r>
              <w:t>106,6</w:t>
            </w:r>
          </w:p>
        </w:tc>
      </w:tr>
    </w:tbl>
    <w:p w:rsidR="00B32153" w:rsidRDefault="00B32153">
      <w:pPr>
        <w:jc w:val="left"/>
      </w:pPr>
    </w:p>
    <w:p w:rsidR="00B32153" w:rsidRDefault="00103DC5">
      <w:r>
        <w:t xml:space="preserve">Predmetna  aktivnost obuhvaća rashode koji se odnose na nove investicije i investicijsko održavanje. </w:t>
      </w:r>
    </w:p>
    <w:p w:rsidR="00B32153" w:rsidRDefault="00103DC5">
      <w:r>
        <w:t xml:space="preserve"> </w:t>
      </w:r>
    </w:p>
    <w:p w:rsidR="00B32153" w:rsidRDefault="00103DC5">
      <w:r>
        <w:t xml:space="preserve">Investicije se provode u razdoblju dužem od jedne godine, jer se radi o dugoročnim projektima, od kojih su neki započeti prethodnih godina i nastavljaju se u  razdoblju 2024. do 2026. godine.  </w:t>
      </w:r>
    </w:p>
    <w:p w:rsidR="00B32153" w:rsidRDefault="00103DC5">
      <w:r>
        <w:t xml:space="preserve">Plan aktivnosti ulaganja u tekuće i investicijsko odražavanje se donosi na godišnjoj razini i to u odnosu na  realizaciju prethodne godine.  </w:t>
      </w:r>
    </w:p>
    <w:p w:rsidR="00B32153" w:rsidRDefault="00103DC5">
      <w:r>
        <w:t xml:space="preserve">Nove investicije u 2024. godini su planirane u ukupnom iznosu od 1.048.234 EUR i čine 34% rashoda, dok  troškovi investicijskog održavanja iznose 1.978.940 EUR, odnosno 65% rashoda ove aktivnosti.  </w:t>
      </w:r>
    </w:p>
    <w:p w:rsidR="00B32153" w:rsidRDefault="00103DC5">
      <w:r>
        <w:t xml:space="preserve">Plan aktivnosti je podijeljen prem bazenima lučkog područja.  </w:t>
      </w:r>
    </w:p>
    <w:p w:rsidR="00B32153" w:rsidRDefault="00103DC5">
      <w:r>
        <w:t xml:space="preserve"> </w:t>
      </w:r>
    </w:p>
    <w:p w:rsidR="00B32153" w:rsidRDefault="00103DC5">
      <w:r>
        <w:t>1.</w:t>
      </w:r>
      <w:r>
        <w:tab/>
        <w:t xml:space="preserve">Bazen Gradska luka: </w:t>
      </w:r>
    </w:p>
    <w:p w:rsidR="00B32153" w:rsidRDefault="00103DC5">
      <w:r>
        <w:t xml:space="preserve">Investicije  </w:t>
      </w:r>
    </w:p>
    <w:p w:rsidR="00B32153" w:rsidRDefault="00103DC5">
      <w:r>
        <w:lastRenderedPageBreak/>
        <w:t xml:space="preserve">Rekonstrukcija- dogradnja Gata sv. Petra u Gradskoj luci Split. - Izrada projektne dokumentacije, ishođenje dozvola i konzultantske usluge,   nabava dva ultrazvučna anemometra te ugradnja na vezove br. 26 i 27,, Izrada pomičnih ograda, Izrada javnog WC sa priključcima (ex. Bodul), Izrada i postavljanje metalnih ograda oko zelenih površina kod podhodnika u Gradskoj luci Split, Izvođenje radova na kabelskom raspletu i opskrbnim ormarićima na Obali Hrvatskog narodnog preporoda i izvođenje radova i nadzor na Obali Lazareta. </w:t>
      </w:r>
    </w:p>
    <w:p w:rsidR="00B32153" w:rsidRDefault="00103DC5">
      <w:r>
        <w:tab/>
        <w:t xml:space="preserve"> </w:t>
      </w:r>
    </w:p>
    <w:p w:rsidR="00B32153" w:rsidRDefault="00103DC5">
      <w:r>
        <w:t xml:space="preserve">Investicijsko održavanje  </w:t>
      </w:r>
    </w:p>
    <w:p w:rsidR="00B32153" w:rsidRDefault="00103DC5">
      <w:r>
        <w:t xml:space="preserve">Sanacija obalnih zidova , zamjena i nadogradnja dijelova dotrajale opreme  sustava video nadzora, sanacija krovne terase iznad ureda na zgradi PPT-a, zamjena kanalica, sanacija operativnih obala , sanacija metalne konstrukcije nosača brisoleja  na zgradi PPT-a te uređenje zelenih površina </w:t>
      </w:r>
    </w:p>
    <w:p w:rsidR="00B32153" w:rsidRDefault="00103DC5">
      <w:r>
        <w:t xml:space="preserve"> </w:t>
      </w:r>
    </w:p>
    <w:p w:rsidR="00B32153" w:rsidRDefault="00103DC5">
      <w:r>
        <w:t xml:space="preserve">2.Vranjičko solinski bazen  </w:t>
      </w:r>
    </w:p>
    <w:p w:rsidR="00B32153" w:rsidRDefault="00103DC5">
      <w:r>
        <w:t xml:space="preserve"> </w:t>
      </w:r>
    </w:p>
    <w:p w:rsidR="00B32153" w:rsidRDefault="00103DC5">
      <w:r>
        <w:t xml:space="preserve">Investicije  </w:t>
      </w:r>
    </w:p>
    <w:p w:rsidR="00B32153" w:rsidRDefault="00103DC5">
      <w:r>
        <w:t xml:space="preserve">Izrada projektne dokumentacije za Projekt izgradnje i proširenja infrastrukture za putnički i ro-ro promet u luci Split – Luka Stinice (nastavak iz 2020, 2021, 2022 i 2023 g.) ,Sanacija skretnica u Sjevernoj luci Split- izvođenje radova i nadzor </w:t>
      </w:r>
    </w:p>
    <w:p w:rsidR="00B32153" w:rsidRDefault="00103DC5">
      <w:r>
        <w:t xml:space="preserve">Izvođenje radova, nadzor i studija izvodivosti na rekonstrukciji veza br. 6 i br. 7 sa lučkim konstruktivnim iskopima i obnova industrijskih kolosijeka u lučkom području Vranjičko-solinskog bazena (Obala"Silos-Salonit"), Izrada i montaža zaštitne ograde lučkog područja ispred tvornice ex. Salonit na vezu 7.(nastavak iz prethodne godine), Nabava i ugradnja nove opreme sustava video nadzora na vezu br. 7 i 8  u Vranjičko - solinskom bazenuSanacija kolničke konstrukcije na vezu br. 2 u Sjevernoj luci Split- Izvođenje radova i nadzor nad izvođenjem radova </w:t>
      </w:r>
    </w:p>
    <w:p w:rsidR="00B32153" w:rsidRDefault="00103DC5">
      <w:r>
        <w:t xml:space="preserve">Investicijsko održavanje  </w:t>
      </w:r>
    </w:p>
    <w:p w:rsidR="00B32153" w:rsidRDefault="00103DC5">
      <w:r>
        <w:t xml:space="preserve">Sanacija  oborinsko kanalskog  sustava  sa pripadajućim slivnicima i oknima na operativnoj  površini veza 2.. sanacija postojećeg betonskog platoa na vezu br 2 u Sjevernoj luci, te  sanacija obalnih zidova i obalnog kolosjeka  na vezu br.7 </w:t>
      </w:r>
    </w:p>
    <w:p w:rsidR="00B32153" w:rsidRDefault="00103DC5">
      <w:r>
        <w:t xml:space="preserve"> </w:t>
      </w:r>
    </w:p>
    <w:p w:rsidR="00B32153" w:rsidRDefault="00103DC5">
      <w:r>
        <w:t xml:space="preserve">3.Kaštelanski bazen B (sv Juraj), obala CROSCO </w:t>
      </w:r>
    </w:p>
    <w:p w:rsidR="00B32153" w:rsidRDefault="00103DC5">
      <w:r>
        <w:t xml:space="preserve">Investicijsko održavanje  </w:t>
      </w:r>
    </w:p>
    <w:p w:rsidR="00B32153" w:rsidRDefault="00103DC5">
      <w:r>
        <w:t xml:space="preserve"> </w:t>
      </w:r>
    </w:p>
    <w:p w:rsidR="00B32153" w:rsidRDefault="00103DC5">
      <w:r>
        <w:t xml:space="preserve">Vađenje iz mora, čišćenje, bojanje  te ponovno spuštanje u more postojećih čeličnih plutajućih distanceta u TC sv Juraj, sanacija kranske staze, izrada pijelazne skale za potrebe plutajućih distancera te razne intervencije na obalama.  </w:t>
      </w:r>
    </w:p>
    <w:p w:rsidR="00B32153" w:rsidRDefault="00103DC5">
      <w:r>
        <w:t xml:space="preserve"> </w:t>
      </w:r>
    </w:p>
    <w:p w:rsidR="00B32153" w:rsidRDefault="00103DC5">
      <w:r>
        <w:t xml:space="preserve">4.Bazen „C“Tankerski vez INA Solin, TC Sv Kajo i Gat Brižine </w:t>
      </w:r>
    </w:p>
    <w:p w:rsidR="00B32153" w:rsidRDefault="00103DC5">
      <w:r>
        <w:t xml:space="preserve">Investicije  </w:t>
      </w:r>
    </w:p>
    <w:p w:rsidR="00B32153" w:rsidRDefault="00103DC5">
      <w:r>
        <w:t xml:space="preserve">Izrada projektne dokumentacije modernizacije INA tankerskog veza (postavljanje automatiziranih kuka, anemometra, mjeraća brzine prilaska)te izrada prijelazne skale- INA tankerski terminal Solin. </w:t>
      </w:r>
    </w:p>
    <w:p w:rsidR="00B32153" w:rsidRDefault="00103DC5">
      <w:r>
        <w:t xml:space="preserve"> </w:t>
      </w:r>
    </w:p>
    <w:p w:rsidR="00B32153" w:rsidRDefault="00103DC5">
      <w:r>
        <w:t xml:space="preserve">Investicijsko održavanje  </w:t>
      </w:r>
    </w:p>
    <w:p w:rsidR="00B32153" w:rsidRDefault="00103DC5">
      <w:r>
        <w:t xml:space="preserve">Snimanja raznih stanja kao i sanacija utvrdice tankerskog pristana INA Solin, zamjena dotrajalih brodobrana, uklanjanje podrtina ( potonulih brodova ) sa morskog dna te   </w:t>
      </w:r>
    </w:p>
    <w:p w:rsidR="00B32153" w:rsidRDefault="00103DC5">
      <w:r>
        <w:t xml:space="preserve"> 5.Kaštelanski bazen D – Resnik: </w:t>
      </w:r>
    </w:p>
    <w:p w:rsidR="00B32153" w:rsidRDefault="00103DC5">
      <w:r>
        <w:t xml:space="preserve"> Investicijsko održavanje  </w:t>
      </w:r>
    </w:p>
    <w:p w:rsidR="00B32153" w:rsidRDefault="00103DC5">
      <w:r>
        <w:t xml:space="preserve">- tekuće i investicijsko održavanje se odnosi na razne popravke u luci te održavanje pontonskog gata i priveznih lanaca.  </w:t>
      </w:r>
    </w:p>
    <w:p w:rsidR="00B32153" w:rsidRDefault="00103DC5">
      <w:r>
        <w:t xml:space="preserve"> </w:t>
      </w:r>
    </w:p>
    <w:p w:rsidR="00B32153" w:rsidRDefault="00103DC5">
      <w:r>
        <w:lastRenderedPageBreak/>
        <w:t xml:space="preserve"> </w:t>
      </w:r>
    </w:p>
    <w:p w:rsidR="00B32153" w:rsidRDefault="00103DC5">
      <w:r>
        <w:t xml:space="preserve">U 2025. godini planirana su ulaganja u investicije u iznosu od 593.304 EUR, što je  smanjenje  rashoda za 62% u odnosu na prethodnu godinu, a smanjenje se odnosi na troškove tekućeg i investicijskog održavanja. </w:t>
      </w:r>
    </w:p>
    <w:p w:rsidR="00B32153" w:rsidRDefault="00103DC5">
      <w:r>
        <w:t>U 2026. godini planirani rashodi se povećavaju u odnosu na 2025. godinu , nove investicije iznose 619.266 EUR, dok su troškovi  investicijskog održavanja 1.031.807 EUR.</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Stupanj povećanja kapaciteta prihvatnih vezova za brzobrodske linije i katamarane</w:t>
            </w:r>
          </w:p>
        </w:tc>
        <w:tc>
          <w:tcPr>
            <w:tcW w:w="2245" w:type="dxa"/>
            <w:vAlign w:val="top"/>
          </w:tcPr>
          <w:p w:rsidR="00B32153" w:rsidRDefault="00103DC5">
            <w:pPr>
              <w:pStyle w:val="CellColumn"/>
              <w:jc w:val="left"/>
            </w:pPr>
            <w:r>
              <w:rPr>
                <w:rFonts w:cs="Times New Roman"/>
              </w:rPr>
              <w:t>Povećanje kapaciteta prihvatnih vezova na Obali Sv. Petar i Putničko pomorskom terminalu u Resniku-Divulje</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10</w:t>
            </w:r>
          </w:p>
        </w:tc>
        <w:tc>
          <w:tcPr>
            <w:tcW w:w="918" w:type="dxa"/>
          </w:tcPr>
          <w:p w:rsidR="00B32153" w:rsidRDefault="00103DC5">
            <w:pPr>
              <w:jc w:val="center"/>
            </w:pPr>
            <w:r>
              <w:t>30</w:t>
            </w:r>
          </w:p>
        </w:tc>
        <w:tc>
          <w:tcPr>
            <w:tcW w:w="918" w:type="dxa"/>
          </w:tcPr>
          <w:p w:rsidR="00B32153" w:rsidRDefault="00103DC5">
            <w:pPr>
              <w:jc w:val="center"/>
            </w:pPr>
            <w:r>
              <w:t>50</w:t>
            </w:r>
          </w:p>
        </w:tc>
      </w:tr>
    </w:tbl>
    <w:p w:rsidR="00B32153" w:rsidRDefault="00B32153">
      <w:pPr>
        <w:jc w:val="left"/>
      </w:pPr>
    </w:p>
    <w:p w:rsidR="00B32153" w:rsidRDefault="00103DC5">
      <w:pPr>
        <w:pStyle w:val="Naslov4"/>
      </w:pPr>
      <w:r>
        <w:t>K754083 KIBERNETIČKA SIGURNOST U HRVATSKOM POMORSKOM PROMETU- CYSCROMS</w:t>
      </w:r>
    </w:p>
    <w:p w:rsidR="00B32153" w:rsidRDefault="00103DC5">
      <w:pPr>
        <w:pStyle w:val="Naslov8"/>
        <w:jc w:val="left"/>
      </w:pPr>
      <w:r>
        <w:t>Zakonske i druge pravne osnove</w:t>
      </w:r>
    </w:p>
    <w:p w:rsidR="00B32153" w:rsidRDefault="00103DC5">
      <w:r>
        <w:t xml:space="preserve">- Zakon o pomorskom dobru i morskim lukama </w:t>
      </w:r>
    </w:p>
    <w:p w:rsidR="00B32153" w:rsidRDefault="00103DC5">
      <w:r>
        <w:t xml:space="preserve">- Zakon o uspostavi institucionalnog okvira za provedbu europskih strukturnih i investicijskih fondova u Hrvatskoj  </w:t>
      </w:r>
    </w:p>
    <w:p w:rsidR="00B32153" w:rsidRDefault="00103DC5">
      <w:r>
        <w:t>- Parterski sporazum za implementaciju projekta INTERREG VI-A Italija-  Hrvatska KIBERNETIČKA SIGURNOST U HRVATSKOM POMORSKOM PROMETU- CYSCROMS</w:t>
      </w:r>
    </w:p>
    <w:tbl>
      <w:tblPr>
        <w:tblStyle w:val="StilTablice"/>
        <w:tblW w:w="10206" w:type="dxa"/>
        <w:jc w:val="center"/>
        <w:tblLook w:val="04A0" w:firstRow="1" w:lastRow="0" w:firstColumn="1" w:lastColumn="0" w:noHBand="0" w:noVBand="1"/>
      </w:tblPr>
      <w:tblGrid>
        <w:gridCol w:w="1478"/>
        <w:gridCol w:w="1566"/>
        <w:gridCol w:w="1542"/>
        <w:gridCol w:w="1550"/>
        <w:gridCol w:w="1550"/>
        <w:gridCol w:w="1550"/>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K754083</w:t>
            </w:r>
          </w:p>
        </w:tc>
        <w:tc>
          <w:tcPr>
            <w:tcW w:w="1632" w:type="dxa"/>
            <w:vAlign w:val="top"/>
          </w:tcPr>
          <w:p w:rsidR="00B32153" w:rsidRDefault="00103DC5">
            <w:pPr>
              <w:jc w:val="right"/>
            </w:pPr>
            <w:r>
              <w:t>00</w:t>
            </w:r>
          </w:p>
        </w:tc>
        <w:tc>
          <w:tcPr>
            <w:tcW w:w="1632" w:type="dxa"/>
            <w:vAlign w:val="top"/>
          </w:tcPr>
          <w:p w:rsidR="00B32153" w:rsidRDefault="00103DC5">
            <w:pPr>
              <w:jc w:val="right"/>
            </w:pPr>
            <w:r>
              <w:t>00</w:t>
            </w:r>
          </w:p>
        </w:tc>
        <w:tc>
          <w:tcPr>
            <w:tcW w:w="1632" w:type="dxa"/>
            <w:vAlign w:val="top"/>
          </w:tcPr>
          <w:p w:rsidR="00B32153" w:rsidRDefault="00103DC5">
            <w:pPr>
              <w:jc w:val="right"/>
            </w:pPr>
            <w:r>
              <w:t>50.866</w:t>
            </w:r>
          </w:p>
        </w:tc>
        <w:tc>
          <w:tcPr>
            <w:tcW w:w="1632" w:type="dxa"/>
            <w:vAlign w:val="top"/>
          </w:tcPr>
          <w:p w:rsidR="00B32153" w:rsidRDefault="00103DC5">
            <w:pPr>
              <w:jc w:val="right"/>
            </w:pPr>
            <w:r>
              <w:t>50.866</w:t>
            </w:r>
          </w:p>
        </w:tc>
        <w:tc>
          <w:tcPr>
            <w:tcW w:w="1632" w:type="dxa"/>
            <w:vAlign w:val="top"/>
          </w:tcPr>
          <w:p w:rsidR="00B32153" w:rsidRDefault="00103DC5">
            <w:pPr>
              <w:jc w:val="right"/>
            </w:pPr>
            <w:r>
              <w:t>50.866</w:t>
            </w:r>
          </w:p>
        </w:tc>
        <w:tc>
          <w:tcPr>
            <w:tcW w:w="510" w:type="dxa"/>
            <w:vAlign w:val="top"/>
          </w:tcPr>
          <w:p w:rsidR="00B32153" w:rsidRDefault="00103DC5">
            <w:pPr>
              <w:jc w:val="right"/>
            </w:pPr>
            <w:r>
              <w:t>0,0</w:t>
            </w:r>
          </w:p>
        </w:tc>
      </w:tr>
    </w:tbl>
    <w:p w:rsidR="00B32153" w:rsidRDefault="00B32153">
      <w:pPr>
        <w:jc w:val="left"/>
      </w:pPr>
    </w:p>
    <w:p w:rsidR="00B32153" w:rsidRDefault="00103DC5">
      <w:r>
        <w:t xml:space="preserve">KIBERNETIČKA SIGURNOST U HRVATSKOM POMORSKOM PROMETU </w:t>
      </w:r>
    </w:p>
    <w:p w:rsidR="00B32153" w:rsidRDefault="00103DC5">
      <w:r>
        <w:t xml:space="preserve">Projekt CYSCROMS (Cyber safety in Croatian maritime transport sector) u okviru poziva DIGITAL-ECCC-2022-CYBERY-03, program Digitalna Europa (DIGITAL), „Podrška implementaciji NIS Direktive i nacionalnih strategija kibernetičke sigurnosti u pomorstvu”.  Projektni koordinator je Ministarstvo mora, prometa i infrastrukture.  Početak projekta predviđen za 01.01.2024. godine, te se njegov završetak očekuje 31.12.2026. godine.  Vrijednost ugovora sa Lučkom upravom Split iznosi 152.598,04 € pri čemu sredstva EU iznose 50% i domaća komponenta iznosi također 50% vrijednosti ulaganja.   Projektom se planira podići kibernetička zrelost i otpornost operatera osnovnih usluga u hrvatskom sektoru.  U sklopu navedenog planirano je provesti validaciju, pilotiranje i implementaciju tehnologija, alata i IT rješenja, procesa i metoda za praćenje, sprječavanje, otkrivanje i odgovor na kibernetičke incidente.  Izvršiti nabavu opreme (hardvera i softvera) za osiguranje kibernetičke sigurnosti.  Provesti ulaganje u informacijsko-komunikacijsku infrastrukturu (pasivna i aktivna komunikacijska mreža, WLAN, Wi-Fi, opremanje lokacija za oporavak ili pričuvne lokacije, itd.). </w:t>
      </w:r>
    </w:p>
    <w:p w:rsidR="00B32153" w:rsidRDefault="00103DC5">
      <w:r>
        <w:t>Lučka uprava Split će sudjelovati na sastancima koje u sklopu Radnog paketa 1 organizira Koordinator projekta te će sudjelovati u definiranju održivosti projekta. U Radnom paketu 2 će obavljati zadatke kako bi se osigurala njegova usklađenost s NIS Direktivom. U Radnom paketu 3 Lučka uprava Split će sudjelovati u aktivnostima podizanja svijesti, dijeljenja znanja, promocije i širenja informacija.</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lastRenderedPageBreak/>
              <w:t>Stupanj dovršenosti implementacije opreme za osiguranje kibernetičke sigurnosti</w:t>
            </w:r>
          </w:p>
        </w:tc>
        <w:tc>
          <w:tcPr>
            <w:tcW w:w="2245" w:type="dxa"/>
            <w:vAlign w:val="top"/>
          </w:tcPr>
          <w:p w:rsidR="00B32153" w:rsidRDefault="00103DC5">
            <w:pPr>
              <w:pStyle w:val="CellColumn"/>
              <w:jc w:val="left"/>
            </w:pPr>
            <w:r>
              <w:rPr>
                <w:rFonts w:cs="Times New Roman"/>
              </w:rPr>
              <w:t>Nabava i instaliranje opreme za osiguranje kibernetičke sigurnosti</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30</w:t>
            </w:r>
          </w:p>
        </w:tc>
        <w:tc>
          <w:tcPr>
            <w:tcW w:w="918" w:type="dxa"/>
          </w:tcPr>
          <w:p w:rsidR="00B32153" w:rsidRDefault="00103DC5">
            <w:pPr>
              <w:jc w:val="center"/>
            </w:pPr>
            <w:r>
              <w:t>60</w:t>
            </w:r>
          </w:p>
        </w:tc>
        <w:tc>
          <w:tcPr>
            <w:tcW w:w="918" w:type="dxa"/>
          </w:tcPr>
          <w:p w:rsidR="00B32153" w:rsidRDefault="00103DC5">
            <w:pPr>
              <w:jc w:val="center"/>
            </w:pPr>
            <w:r>
              <w:t>100</w:t>
            </w:r>
          </w:p>
        </w:tc>
      </w:tr>
    </w:tbl>
    <w:p w:rsidR="00B32153" w:rsidRDefault="00B32153">
      <w:pPr>
        <w:jc w:val="left"/>
      </w:pPr>
    </w:p>
    <w:p w:rsidR="00B32153" w:rsidRDefault="00103DC5">
      <w:pPr>
        <w:pStyle w:val="Naslov4"/>
      </w:pPr>
      <w:r>
        <w:t>K754084 INTERREG VI-A ITALIJA - HRVATSKA PROJEKT DIGITPORTS - DIGITALNE DVOSTRUKE APLIKACIJE ZA SIGURNIJE I ZELENIJE POSLOVANJE LUKA  NA JADRANU</w:t>
      </w:r>
    </w:p>
    <w:p w:rsidR="00B32153" w:rsidRDefault="00103DC5">
      <w:pPr>
        <w:pStyle w:val="Naslov8"/>
        <w:jc w:val="left"/>
      </w:pPr>
      <w:r>
        <w:t>Zakonske i druge pravne osnove</w:t>
      </w:r>
    </w:p>
    <w:p w:rsidR="00B32153" w:rsidRDefault="00103DC5">
      <w:r>
        <w:t xml:space="preserve">- Zakon o uspostavi institucionalnog okvira za provedbu europskih strukturnih i investicijskih fondova u Hrvatskoj   </w:t>
      </w:r>
    </w:p>
    <w:p w:rsidR="00B32153" w:rsidRDefault="00103DC5">
      <w:r>
        <w:t>- Parterski sporazum za implementaciju projekta INTERREG VI-A Italija-  Hrvatska Projekt DIGITal Twins applications for safer and greener Adriatic PORTS operations (DIGITPORTS)</w:t>
      </w:r>
    </w:p>
    <w:tbl>
      <w:tblPr>
        <w:tblStyle w:val="StilTablice"/>
        <w:tblW w:w="10206" w:type="dxa"/>
        <w:jc w:val="center"/>
        <w:tblLook w:val="04A0" w:firstRow="1" w:lastRow="0" w:firstColumn="1" w:lastColumn="0" w:noHBand="0" w:noVBand="1"/>
      </w:tblPr>
      <w:tblGrid>
        <w:gridCol w:w="1476"/>
        <w:gridCol w:w="1563"/>
        <w:gridCol w:w="1538"/>
        <w:gridCol w:w="1556"/>
        <w:gridCol w:w="1556"/>
        <w:gridCol w:w="1547"/>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K754084</w:t>
            </w:r>
          </w:p>
        </w:tc>
        <w:tc>
          <w:tcPr>
            <w:tcW w:w="1632" w:type="dxa"/>
            <w:vAlign w:val="top"/>
          </w:tcPr>
          <w:p w:rsidR="00B32153" w:rsidRDefault="00103DC5">
            <w:pPr>
              <w:jc w:val="right"/>
            </w:pPr>
            <w:r>
              <w:t>00</w:t>
            </w:r>
          </w:p>
        </w:tc>
        <w:tc>
          <w:tcPr>
            <w:tcW w:w="1632" w:type="dxa"/>
            <w:vAlign w:val="top"/>
          </w:tcPr>
          <w:p w:rsidR="00B32153" w:rsidRDefault="00103DC5">
            <w:pPr>
              <w:jc w:val="right"/>
            </w:pPr>
            <w:r>
              <w:t>00</w:t>
            </w:r>
          </w:p>
        </w:tc>
        <w:tc>
          <w:tcPr>
            <w:tcW w:w="1632" w:type="dxa"/>
            <w:vAlign w:val="top"/>
          </w:tcPr>
          <w:p w:rsidR="00B32153" w:rsidRDefault="00103DC5">
            <w:pPr>
              <w:jc w:val="right"/>
            </w:pPr>
            <w:r>
              <w:t>145.700</w:t>
            </w:r>
          </w:p>
        </w:tc>
        <w:tc>
          <w:tcPr>
            <w:tcW w:w="1632" w:type="dxa"/>
            <w:vAlign w:val="top"/>
          </w:tcPr>
          <w:p w:rsidR="00B32153" w:rsidRDefault="00103DC5">
            <w:pPr>
              <w:jc w:val="right"/>
            </w:pPr>
            <w:r>
              <w:t>145.700</w:t>
            </w:r>
          </w:p>
        </w:tc>
        <w:tc>
          <w:tcPr>
            <w:tcW w:w="1632" w:type="dxa"/>
            <w:vAlign w:val="top"/>
          </w:tcPr>
          <w:p w:rsidR="00B32153" w:rsidRDefault="00103DC5">
            <w:pPr>
              <w:jc w:val="right"/>
            </w:pPr>
            <w:r>
              <w:t>75.300</w:t>
            </w:r>
          </w:p>
        </w:tc>
        <w:tc>
          <w:tcPr>
            <w:tcW w:w="510" w:type="dxa"/>
            <w:vAlign w:val="top"/>
          </w:tcPr>
          <w:p w:rsidR="00B32153" w:rsidRDefault="00103DC5">
            <w:pPr>
              <w:jc w:val="right"/>
            </w:pPr>
            <w:r>
              <w:t>0,0</w:t>
            </w:r>
          </w:p>
        </w:tc>
      </w:tr>
    </w:tbl>
    <w:p w:rsidR="00B32153" w:rsidRDefault="00B32153">
      <w:pPr>
        <w:jc w:val="left"/>
      </w:pPr>
    </w:p>
    <w:p w:rsidR="00B32153" w:rsidRDefault="00103DC5">
      <w:r>
        <w:t xml:space="preserve">INTERREG VI-A Italija-  Hrvatska. Projekt DIGITal Twins applications for safer and greener Adriatic PORTS operations (DIGITPORTS) </w:t>
      </w:r>
    </w:p>
    <w:p w:rsidR="00B32153" w:rsidRDefault="00103DC5">
      <w:r>
        <w:t xml:space="preserve"> </w:t>
      </w:r>
    </w:p>
    <w:p w:rsidR="00B32153" w:rsidRDefault="00103DC5">
      <w:r>
        <w:t>Projekt se provodi u okviru Programa prekogranične suradnje Italija – Hrvatska.  Puni naziv projekta je " DIGITal Twins applications for safer and greener Adriatic PORTS operations", akronim: DIGITPORTS. Projekt   ID ITHR0200306. Projekt je prijavljen i ako bude prihvaćen trajat će  30 mjeseci . Partnerski sporazum je potpisan između vodećeg partnera  Autorità di Sistema Portuale del Mare Adriatico Settentrionale (luke Venezia i Chioggia) iz Italije s ostalih 6 partnera, uključujući Lučku upravu Split  Razvoj i poboljšanje održive, klimatske otporne, inteligentne i intermodalne nacionalne, regionalne i lokalne mobilnosti, uključujući poboljšani pristup TEN-T mreži i prekograničnoj mobilnosti. Ukupna vrijednost alokacije Lučke uprave Split iznosi 350.376,00 EUR-a. pri čemu sredstva EU iznose 80% i domaća komponenta iznosi također 20% vrijednosti ulaganja.Lučka uprava Split doprinijeti će svim fazama projekta, a posebno vođenju Radnog paketa 3 koji se bavi preuzimanjem zajedničkih rješenja naučenih o digitalizaciji lučkih ekosustava. Lučka uprava Split će aktivno raditi i na drugim radnim paketima: usporedba razine digitalizacije u jadranskim lukama, sudjelovanje u studijskom posjetu luci Rotterdam i doprinos reviziji i izradi zajedničke strategije koji se bavi mogućnosti unapređenja Digital Twin aplikacija u jadranskim lukama. Lučka uprava Split će provoditi svoju pilot aktivnost u bazenu Gradska luka, osiguravanjem digitalnog praćenja zauzetosti vezova.</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Stupanj digitalnog  praćenja zauzetosti vezova za prihvat brodova</w:t>
            </w:r>
          </w:p>
        </w:tc>
        <w:tc>
          <w:tcPr>
            <w:tcW w:w="2245" w:type="dxa"/>
            <w:vAlign w:val="top"/>
          </w:tcPr>
          <w:p w:rsidR="00B32153" w:rsidRDefault="00103DC5">
            <w:pPr>
              <w:pStyle w:val="CellColumn"/>
              <w:jc w:val="left"/>
            </w:pPr>
            <w:r>
              <w:rPr>
                <w:rFonts w:cs="Times New Roman"/>
              </w:rPr>
              <w:t>Poboljšanje digitalizacije u jadranskim lukama</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30</w:t>
            </w:r>
          </w:p>
        </w:tc>
        <w:tc>
          <w:tcPr>
            <w:tcW w:w="918" w:type="dxa"/>
          </w:tcPr>
          <w:p w:rsidR="00B32153" w:rsidRDefault="00103DC5">
            <w:pPr>
              <w:jc w:val="center"/>
            </w:pPr>
            <w:r>
              <w:t>70</w:t>
            </w:r>
          </w:p>
        </w:tc>
        <w:tc>
          <w:tcPr>
            <w:tcW w:w="918" w:type="dxa"/>
          </w:tcPr>
          <w:p w:rsidR="00B32153" w:rsidRDefault="00103DC5">
            <w:pPr>
              <w:jc w:val="center"/>
            </w:pPr>
            <w:r>
              <w:t>100</w:t>
            </w:r>
          </w:p>
        </w:tc>
      </w:tr>
    </w:tbl>
    <w:p w:rsidR="00B32153" w:rsidRDefault="00B32153">
      <w:pPr>
        <w:jc w:val="left"/>
      </w:pPr>
    </w:p>
    <w:p w:rsidR="00B32153" w:rsidRDefault="00103DC5">
      <w:pPr>
        <w:pStyle w:val="Naslov4"/>
      </w:pPr>
      <w:r>
        <w:t>K754085 INTERREG VI-A-ITALIJA –HRVATSKA PROJEKT FISHNOWASTE - SMANJENJE I UPRAVLJANJE OTPADOM U RIBARSKIM LUKAMA JADRANSKOG MORA ZA PROMICANJE ODRŽIVOG RIBARSTVA</w:t>
      </w:r>
    </w:p>
    <w:p w:rsidR="00B32153" w:rsidRDefault="00103DC5">
      <w:pPr>
        <w:pStyle w:val="Naslov8"/>
        <w:jc w:val="left"/>
      </w:pPr>
      <w:r>
        <w:t>Zakonske i druge pravne osnove</w:t>
      </w:r>
    </w:p>
    <w:p w:rsidR="00B32153" w:rsidRDefault="00103DC5">
      <w:r>
        <w:t xml:space="preserve">- Zakon o uspostavi institucionalnog okvira za provedbu europskih strukturnih i investicijskih fondova u Hrvatskoj   </w:t>
      </w:r>
    </w:p>
    <w:p w:rsidR="00B32153" w:rsidRDefault="00103DC5">
      <w:r>
        <w:lastRenderedPageBreak/>
        <w:t>- Parterski sporazum za implementaciju projekta INTERREG VI-A Italija-  Hrvatska FISHNOWASTE - SMANJENJE I UPRAVLJANJE OTPADOM U RIBARSKIM LUKAMA JADRANSKOG MORA ZA PROMICANJE ODRŽIVOG RIBARSTVA</w:t>
      </w:r>
    </w:p>
    <w:tbl>
      <w:tblPr>
        <w:tblStyle w:val="StilTablice"/>
        <w:tblW w:w="10206" w:type="dxa"/>
        <w:jc w:val="center"/>
        <w:tblLook w:val="04A0" w:firstRow="1" w:lastRow="0" w:firstColumn="1" w:lastColumn="0" w:noHBand="0" w:noVBand="1"/>
      </w:tblPr>
      <w:tblGrid>
        <w:gridCol w:w="1476"/>
        <w:gridCol w:w="1565"/>
        <w:gridCol w:w="1540"/>
        <w:gridCol w:w="1549"/>
        <w:gridCol w:w="1549"/>
        <w:gridCol w:w="1557"/>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K754085</w:t>
            </w:r>
          </w:p>
        </w:tc>
        <w:tc>
          <w:tcPr>
            <w:tcW w:w="1632" w:type="dxa"/>
            <w:vAlign w:val="top"/>
          </w:tcPr>
          <w:p w:rsidR="00B32153" w:rsidRDefault="00103DC5">
            <w:pPr>
              <w:jc w:val="right"/>
            </w:pPr>
            <w:r>
              <w:t>00</w:t>
            </w:r>
          </w:p>
        </w:tc>
        <w:tc>
          <w:tcPr>
            <w:tcW w:w="1632" w:type="dxa"/>
            <w:vAlign w:val="top"/>
          </w:tcPr>
          <w:p w:rsidR="00B32153" w:rsidRDefault="00103DC5">
            <w:pPr>
              <w:jc w:val="right"/>
            </w:pPr>
            <w:r>
              <w:t>00</w:t>
            </w:r>
          </w:p>
        </w:tc>
        <w:tc>
          <w:tcPr>
            <w:tcW w:w="1632" w:type="dxa"/>
            <w:vAlign w:val="top"/>
          </w:tcPr>
          <w:p w:rsidR="00B32153" w:rsidRDefault="00103DC5">
            <w:pPr>
              <w:jc w:val="right"/>
            </w:pPr>
            <w:r>
              <w:t>90.800</w:t>
            </w:r>
          </w:p>
        </w:tc>
        <w:tc>
          <w:tcPr>
            <w:tcW w:w="1632" w:type="dxa"/>
            <w:vAlign w:val="top"/>
          </w:tcPr>
          <w:p w:rsidR="00B32153" w:rsidRDefault="00103DC5">
            <w:pPr>
              <w:jc w:val="right"/>
            </w:pPr>
            <w:r>
              <w:t>37.230</w:t>
            </w:r>
          </w:p>
        </w:tc>
        <w:tc>
          <w:tcPr>
            <w:tcW w:w="1632" w:type="dxa"/>
            <w:vAlign w:val="top"/>
          </w:tcPr>
          <w:p w:rsidR="00B32153" w:rsidRDefault="00103DC5">
            <w:pPr>
              <w:jc w:val="right"/>
            </w:pPr>
            <w:r>
              <w:t>149.550</w:t>
            </w:r>
          </w:p>
        </w:tc>
        <w:tc>
          <w:tcPr>
            <w:tcW w:w="510" w:type="dxa"/>
            <w:vAlign w:val="top"/>
          </w:tcPr>
          <w:p w:rsidR="00B32153" w:rsidRDefault="00103DC5">
            <w:pPr>
              <w:jc w:val="right"/>
            </w:pPr>
            <w:r>
              <w:t>0,0</w:t>
            </w:r>
          </w:p>
        </w:tc>
      </w:tr>
    </w:tbl>
    <w:p w:rsidR="00B32153" w:rsidRDefault="00B32153">
      <w:pPr>
        <w:jc w:val="left"/>
      </w:pPr>
    </w:p>
    <w:p w:rsidR="00B32153" w:rsidRDefault="00103DC5">
      <w:r>
        <w:t xml:space="preserve">Projekt se provodi u okviru Programa prekogranične suradnje Italija – Hrvatska.  Puni naziv projekta je "Waste reduction and management in fishing ports of the Adriatic Sea to promote sustainable fisheries", akronim: FishNoWaste Projekt   ID ITHR0200452 Projekt je prijavljen i ako bude prihvaćen trajat će  30 mjeseci. Početak projekta je planiran u 2024. godini . Partnerski sporazum je potpisan između vodećeg partnera Università degli Studi di Padova iz Italije s ostalih 7 partnera, uključujući Lučku upravu Split  Poboljšanje zaštite i očuvanja prirode, biološke raznolikosti i zelene infrastrukture, uključujući urbana područja, te smanjenje svih oblika onečišćenja. Ukupna vrijednost alokacije Lučke uprave Split iznosi 277.580,00 EUR-a, pri čemu sredstva EU iznose 80% i domaća komponenta iznosi također 20% vrijednosti ulaganja. </w:t>
      </w:r>
    </w:p>
    <w:p w:rsidR="00B32153" w:rsidRDefault="00103DC5">
      <w:r>
        <w:t>Plan završetka projekta je 30.06.2026.godine. Lučka uprava Split će u sklopu projekta dati detaljne podatke o proizvedenom i prikupljenom otpadu ribarske luke Brižine, uključujući i broj ribarskih plovila, količini i vrsti otpada prikupljenog tijekom tih aktivnosti i dovezenog u Brižine. U suradnji s ribarima i lokalnim javnim poduzećima za gospodarenje otpadom provest će se pilot aktivnosti te će uspostaviti sve potrebne veze s lokalnim, regionalnim, i kreatorima nacionalne politike u cilju usmjeravanja budućih ulaganja u ribarske luke. Lučka uprava Split pružit će potporu u studiji istraživanja tržišta i ocjeni učinkovitosti pilot aktivnosti.</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Stupanj izrade studije  istraživanja tržišta i učinkovitosti smanjenja onečišćenja u ribarskim lukama</w:t>
            </w:r>
          </w:p>
        </w:tc>
        <w:tc>
          <w:tcPr>
            <w:tcW w:w="2245" w:type="dxa"/>
            <w:vAlign w:val="top"/>
          </w:tcPr>
          <w:p w:rsidR="00B32153" w:rsidRDefault="00103DC5">
            <w:pPr>
              <w:pStyle w:val="CellColumn"/>
              <w:jc w:val="left"/>
            </w:pPr>
            <w:r>
              <w:rPr>
                <w:rFonts w:cs="Times New Roman"/>
              </w:rPr>
              <w:t>Smanjenja onečišćenja u ribarskim lukama</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30</w:t>
            </w:r>
          </w:p>
        </w:tc>
        <w:tc>
          <w:tcPr>
            <w:tcW w:w="918" w:type="dxa"/>
          </w:tcPr>
          <w:p w:rsidR="00B32153" w:rsidRDefault="00103DC5">
            <w:pPr>
              <w:jc w:val="center"/>
            </w:pPr>
            <w:r>
              <w:t>50</w:t>
            </w:r>
          </w:p>
        </w:tc>
        <w:tc>
          <w:tcPr>
            <w:tcW w:w="918" w:type="dxa"/>
          </w:tcPr>
          <w:p w:rsidR="00B32153" w:rsidRDefault="00103DC5">
            <w:pPr>
              <w:jc w:val="center"/>
            </w:pPr>
            <w:r>
              <w:t>100</w:t>
            </w:r>
          </w:p>
        </w:tc>
      </w:tr>
    </w:tbl>
    <w:p w:rsidR="00B32153" w:rsidRDefault="00B32153">
      <w:pPr>
        <w:jc w:val="left"/>
      </w:pPr>
    </w:p>
    <w:p w:rsidR="00B32153" w:rsidRDefault="00103DC5">
      <w:pPr>
        <w:pStyle w:val="Naslov4"/>
      </w:pPr>
      <w:r>
        <w:t>T754028 PROJEKT IZGRADNJE VANJSKIH VEZOVA NA GLAVNOM LUKOBRANU U GRADSKOJ LUCI SPLIT</w:t>
      </w:r>
    </w:p>
    <w:p w:rsidR="00B32153" w:rsidRDefault="00103DC5">
      <w:pPr>
        <w:pStyle w:val="Naslov8"/>
        <w:jc w:val="left"/>
      </w:pPr>
      <w:r>
        <w:t>Zakonske i druge pravne osnove</w:t>
      </w:r>
    </w:p>
    <w:p w:rsidR="00B32153" w:rsidRDefault="00103DC5">
      <w:r>
        <w:t xml:space="preserve">- Zakon o pomorskom dobru i morskim lukama </w:t>
      </w:r>
    </w:p>
    <w:p w:rsidR="00B32153" w:rsidRDefault="00103DC5">
      <w:r>
        <w:t xml:space="preserve">- Zaključak Vlade RH od 06.12.2012.  </w:t>
      </w:r>
    </w:p>
    <w:p w:rsidR="00B32153" w:rsidRDefault="00103DC5">
      <w:r>
        <w:t>- Ugovor o zajmu zaključen sa Europskom bankom za obnovu i razvoj od 17. prosinca 2012. god. sa pripadajućim Dodatkom od 17. listopada 2014. godine, odobreni iznos zajma je 24.400.000,00 EUR-a u svrhu  financiranja  izvođenja radova od strane izvođača radova JV Pomgrad inženjering d.o.o./Viadukt d.d. te usluga nadzora od strane konzorcija društvo Technital S.p.A. u udruženju sa  Kozina projekti d.o.o., Interkonzalting d.o.o. i Geoprojekt d.o.o.</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B32153">
        <w:trPr>
          <w:jc w:val="center"/>
        </w:trPr>
        <w:tc>
          <w:tcPr>
            <w:tcW w:w="1530" w:type="dxa"/>
            <w:shd w:val="clear" w:color="auto" w:fill="B5C0D8"/>
          </w:tcPr>
          <w:p w:rsidR="00B32153" w:rsidRDefault="00103DC5">
            <w:pPr>
              <w:pStyle w:val="CellHeader"/>
              <w:jc w:val="center"/>
            </w:pPr>
            <w:r>
              <w:rPr>
                <w:rFonts w:cs="Times New Roman"/>
              </w:rPr>
              <w:t>Naziv aktivnosti</w:t>
            </w:r>
          </w:p>
        </w:tc>
        <w:tc>
          <w:tcPr>
            <w:tcW w:w="1632" w:type="dxa"/>
            <w:shd w:val="clear" w:color="auto" w:fill="B5C0D8"/>
          </w:tcPr>
          <w:p w:rsidR="00B32153" w:rsidRDefault="00103DC5">
            <w:pPr>
              <w:pStyle w:val="CellHeader"/>
              <w:jc w:val="center"/>
            </w:pPr>
            <w:r>
              <w:rPr>
                <w:rFonts w:cs="Times New Roman"/>
              </w:rPr>
              <w:t>Izvršenje 2022.</w:t>
            </w:r>
          </w:p>
        </w:tc>
        <w:tc>
          <w:tcPr>
            <w:tcW w:w="1632" w:type="dxa"/>
            <w:shd w:val="clear" w:color="auto" w:fill="B5C0D8"/>
          </w:tcPr>
          <w:p w:rsidR="00B32153" w:rsidRDefault="00103DC5">
            <w:pPr>
              <w:pStyle w:val="CellHeader"/>
              <w:jc w:val="center"/>
            </w:pPr>
            <w:r>
              <w:rPr>
                <w:rFonts w:cs="Times New Roman"/>
              </w:rPr>
              <w:t>Plan 2023.</w:t>
            </w:r>
          </w:p>
        </w:tc>
        <w:tc>
          <w:tcPr>
            <w:tcW w:w="1632" w:type="dxa"/>
            <w:shd w:val="clear" w:color="auto" w:fill="B5C0D8"/>
          </w:tcPr>
          <w:p w:rsidR="00B32153" w:rsidRDefault="00103DC5">
            <w:pPr>
              <w:pStyle w:val="CellHeader"/>
              <w:jc w:val="center"/>
            </w:pPr>
            <w:r>
              <w:rPr>
                <w:rFonts w:cs="Times New Roman"/>
              </w:rPr>
              <w:t>Plan 2024.</w:t>
            </w:r>
          </w:p>
        </w:tc>
        <w:tc>
          <w:tcPr>
            <w:tcW w:w="1632" w:type="dxa"/>
            <w:shd w:val="clear" w:color="auto" w:fill="B5C0D8"/>
          </w:tcPr>
          <w:p w:rsidR="00B32153" w:rsidRDefault="00103DC5">
            <w:pPr>
              <w:pStyle w:val="CellHeader"/>
              <w:jc w:val="center"/>
            </w:pPr>
            <w:r>
              <w:rPr>
                <w:rFonts w:cs="Times New Roman"/>
              </w:rPr>
              <w:t>Plan 2025.</w:t>
            </w:r>
          </w:p>
        </w:tc>
        <w:tc>
          <w:tcPr>
            <w:tcW w:w="1632" w:type="dxa"/>
            <w:shd w:val="clear" w:color="auto" w:fill="B5C0D8"/>
          </w:tcPr>
          <w:p w:rsidR="00B32153" w:rsidRDefault="00103DC5">
            <w:pPr>
              <w:pStyle w:val="CellHeader"/>
              <w:jc w:val="center"/>
            </w:pPr>
            <w:r>
              <w:rPr>
                <w:rFonts w:cs="Times New Roman"/>
              </w:rPr>
              <w:t>Plan 2026.</w:t>
            </w:r>
          </w:p>
        </w:tc>
        <w:tc>
          <w:tcPr>
            <w:tcW w:w="510" w:type="dxa"/>
            <w:shd w:val="clear" w:color="auto" w:fill="B5C0D8"/>
          </w:tcPr>
          <w:p w:rsidR="00B32153" w:rsidRDefault="00103DC5">
            <w:pPr>
              <w:pStyle w:val="CellHeader"/>
              <w:jc w:val="center"/>
            </w:pPr>
            <w:r>
              <w:rPr>
                <w:rFonts w:cs="Times New Roman"/>
              </w:rPr>
              <w:t>Indeks 2024/2023</w:t>
            </w:r>
          </w:p>
        </w:tc>
      </w:tr>
      <w:tr w:rsidR="00B32153">
        <w:trPr>
          <w:jc w:val="center"/>
        </w:trPr>
        <w:tc>
          <w:tcPr>
            <w:tcW w:w="1530" w:type="dxa"/>
            <w:vAlign w:val="top"/>
          </w:tcPr>
          <w:p w:rsidR="00B32153" w:rsidRDefault="00103DC5">
            <w:pPr>
              <w:pStyle w:val="CellColumn"/>
              <w:jc w:val="left"/>
            </w:pPr>
            <w:r>
              <w:rPr>
                <w:rFonts w:cs="Times New Roman"/>
              </w:rPr>
              <w:t>T754028</w:t>
            </w:r>
          </w:p>
        </w:tc>
        <w:tc>
          <w:tcPr>
            <w:tcW w:w="1632" w:type="dxa"/>
            <w:vAlign w:val="top"/>
          </w:tcPr>
          <w:p w:rsidR="00B32153" w:rsidRDefault="00103DC5">
            <w:pPr>
              <w:jc w:val="right"/>
            </w:pPr>
            <w:r>
              <w:t>2.096.132</w:t>
            </w:r>
          </w:p>
        </w:tc>
        <w:tc>
          <w:tcPr>
            <w:tcW w:w="1632" w:type="dxa"/>
            <w:vAlign w:val="top"/>
          </w:tcPr>
          <w:p w:rsidR="00B32153" w:rsidRDefault="00103DC5">
            <w:pPr>
              <w:jc w:val="right"/>
            </w:pPr>
            <w:r>
              <w:t>2.394.290</w:t>
            </w:r>
          </w:p>
        </w:tc>
        <w:tc>
          <w:tcPr>
            <w:tcW w:w="1632" w:type="dxa"/>
            <w:vAlign w:val="top"/>
          </w:tcPr>
          <w:p w:rsidR="00B32153" w:rsidRDefault="00103DC5">
            <w:pPr>
              <w:jc w:val="right"/>
            </w:pPr>
            <w:r>
              <w:t>2.477.951</w:t>
            </w:r>
          </w:p>
        </w:tc>
        <w:tc>
          <w:tcPr>
            <w:tcW w:w="1632" w:type="dxa"/>
            <w:vAlign w:val="top"/>
          </w:tcPr>
          <w:p w:rsidR="00B32153" w:rsidRDefault="00103DC5">
            <w:pPr>
              <w:jc w:val="right"/>
            </w:pPr>
            <w:r>
              <w:t>2.377.951</w:t>
            </w:r>
          </w:p>
        </w:tc>
        <w:tc>
          <w:tcPr>
            <w:tcW w:w="1632" w:type="dxa"/>
            <w:vAlign w:val="top"/>
          </w:tcPr>
          <w:p w:rsidR="00B32153" w:rsidRDefault="00103DC5">
            <w:pPr>
              <w:jc w:val="right"/>
            </w:pPr>
            <w:r>
              <w:t>2.477.951</w:t>
            </w:r>
          </w:p>
        </w:tc>
        <w:tc>
          <w:tcPr>
            <w:tcW w:w="510" w:type="dxa"/>
            <w:vAlign w:val="top"/>
          </w:tcPr>
          <w:p w:rsidR="00B32153" w:rsidRDefault="00103DC5">
            <w:pPr>
              <w:jc w:val="right"/>
            </w:pPr>
            <w:r>
              <w:t>103,5</w:t>
            </w:r>
          </w:p>
        </w:tc>
      </w:tr>
    </w:tbl>
    <w:p w:rsidR="00B32153" w:rsidRDefault="00B32153">
      <w:pPr>
        <w:jc w:val="left"/>
      </w:pPr>
    </w:p>
    <w:p w:rsidR="00B32153" w:rsidRDefault="00103DC5">
      <w:r>
        <w:t xml:space="preserve">Provedba ovog projekta započela je 2014. godine.  </w:t>
      </w:r>
    </w:p>
    <w:p w:rsidR="00B32153" w:rsidRDefault="00103DC5">
      <w:r>
        <w:lastRenderedPageBreak/>
        <w:t xml:space="preserve">Projekt izgradnje vanjskih vezova na Glavnom lukobranu u Gradskoj luci Split se izvodio u dvije faze, s tim da je prva faza (vez br.1) završena u lipnju 2016. godine, a dana 29.06.2016.godine  je dobivena i uporabna dozvola za I fazu. Druga faza ( vez br.2) je završena u veljači 2017. godine, a uporabna dozvola je dobivena 29.03.2017. godine.  </w:t>
      </w:r>
    </w:p>
    <w:p w:rsidR="00B32153" w:rsidRDefault="00103DC5">
      <w:r>
        <w:t xml:space="preserve">Lučka uprava Split je iz vlastitih sredstava financirala troškove PDV-a, izrade projektne dokumentacije, koordinatora nadzora, zaštite na radu i  ostale popratne troškove. Ukupna vrijednost investicije je iznosila 30 milijuna EUR.  </w:t>
      </w:r>
    </w:p>
    <w:p w:rsidR="00B32153" w:rsidRDefault="00103DC5">
      <w:r>
        <w:t>Otplata zajma je započela u ožujku 2017. godine, plaćeno je ukupno 14.147.752,12 EUR, a saldo neotplaćene glavnice zajma na dan 10.09.2023. iznosi 9.125.676,57 EUR-a. Otplata glavnice zajma se financira 70%  iz Državnog proračuna, dok ostatak odnosno 30% glavnice zajma te ukupne kamate i ostale troškove podmiruje Lučka uprava Split iz ostalih namjenskih sredstava. Polugodišnji obrok iznosi 1.013.965,05 EUR-a, a dospijeva u ožujku i rujnu svake godine. Krajnji rok otplate zajma je 10.03.2028. godine.</w:t>
      </w:r>
    </w:p>
    <w:p w:rsidR="00B32153" w:rsidRDefault="00103DC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B32153">
        <w:trPr>
          <w:jc w:val="center"/>
        </w:trPr>
        <w:tc>
          <w:tcPr>
            <w:tcW w:w="2245" w:type="dxa"/>
            <w:shd w:val="clear" w:color="auto" w:fill="B5C0D8"/>
          </w:tcPr>
          <w:p w:rsidR="00B32153" w:rsidRDefault="00103DC5">
            <w:pPr>
              <w:jc w:val="center"/>
            </w:pPr>
            <w:r>
              <w:t>Pokazatelj rezultata</w:t>
            </w:r>
          </w:p>
        </w:tc>
        <w:tc>
          <w:tcPr>
            <w:tcW w:w="2245" w:type="dxa"/>
            <w:shd w:val="clear" w:color="auto" w:fill="B5C0D8"/>
          </w:tcPr>
          <w:p w:rsidR="00B32153" w:rsidRDefault="00103DC5">
            <w:pPr>
              <w:pStyle w:val="CellHeader"/>
              <w:jc w:val="center"/>
            </w:pPr>
            <w:r>
              <w:rPr>
                <w:rFonts w:cs="Times New Roman"/>
              </w:rPr>
              <w:t>Definicija</w:t>
            </w:r>
          </w:p>
        </w:tc>
        <w:tc>
          <w:tcPr>
            <w:tcW w:w="918" w:type="dxa"/>
            <w:shd w:val="clear" w:color="auto" w:fill="B5C0D8"/>
          </w:tcPr>
          <w:p w:rsidR="00B32153" w:rsidRDefault="00103DC5">
            <w:pPr>
              <w:pStyle w:val="CellHeader"/>
              <w:jc w:val="center"/>
            </w:pPr>
            <w:r>
              <w:rPr>
                <w:rFonts w:cs="Times New Roman"/>
              </w:rPr>
              <w:t>Jedinica</w:t>
            </w:r>
          </w:p>
        </w:tc>
        <w:tc>
          <w:tcPr>
            <w:tcW w:w="918" w:type="dxa"/>
            <w:shd w:val="clear" w:color="auto" w:fill="B5C0D8"/>
          </w:tcPr>
          <w:p w:rsidR="00B32153" w:rsidRDefault="00103DC5">
            <w:pPr>
              <w:pStyle w:val="CellHeader"/>
              <w:jc w:val="center"/>
            </w:pPr>
            <w:r>
              <w:rPr>
                <w:rFonts w:cs="Times New Roman"/>
              </w:rPr>
              <w:t>Polazna vrijednost</w:t>
            </w:r>
          </w:p>
        </w:tc>
        <w:tc>
          <w:tcPr>
            <w:tcW w:w="918" w:type="dxa"/>
            <w:shd w:val="clear" w:color="auto" w:fill="B5C0D8"/>
          </w:tcPr>
          <w:p w:rsidR="00B32153" w:rsidRDefault="00103DC5">
            <w:pPr>
              <w:pStyle w:val="CellHeader"/>
              <w:jc w:val="center"/>
            </w:pPr>
            <w:r>
              <w:rPr>
                <w:rFonts w:cs="Times New Roman"/>
              </w:rPr>
              <w:t>Izvor podataka</w:t>
            </w:r>
          </w:p>
        </w:tc>
        <w:tc>
          <w:tcPr>
            <w:tcW w:w="918" w:type="dxa"/>
            <w:shd w:val="clear" w:color="auto" w:fill="B5C0D8"/>
          </w:tcPr>
          <w:p w:rsidR="00B32153" w:rsidRDefault="00103DC5">
            <w:pPr>
              <w:pStyle w:val="CellHeader"/>
              <w:jc w:val="center"/>
            </w:pPr>
            <w:r>
              <w:rPr>
                <w:rFonts w:cs="Times New Roman"/>
              </w:rPr>
              <w:t>Ciljana vrijednost (2024.)</w:t>
            </w:r>
          </w:p>
        </w:tc>
        <w:tc>
          <w:tcPr>
            <w:tcW w:w="918" w:type="dxa"/>
            <w:shd w:val="clear" w:color="auto" w:fill="B5C0D8"/>
          </w:tcPr>
          <w:p w:rsidR="00B32153" w:rsidRDefault="00103DC5">
            <w:pPr>
              <w:pStyle w:val="CellHeader"/>
              <w:jc w:val="center"/>
            </w:pPr>
            <w:r>
              <w:rPr>
                <w:rFonts w:cs="Times New Roman"/>
              </w:rPr>
              <w:t>Ciljana vrijednost (2025.)</w:t>
            </w:r>
          </w:p>
        </w:tc>
        <w:tc>
          <w:tcPr>
            <w:tcW w:w="918" w:type="dxa"/>
            <w:shd w:val="clear" w:color="auto" w:fill="B5C0D8"/>
          </w:tcPr>
          <w:p w:rsidR="00B32153" w:rsidRDefault="00103DC5">
            <w:pPr>
              <w:pStyle w:val="CellHeader"/>
              <w:jc w:val="center"/>
            </w:pPr>
            <w:r>
              <w:rPr>
                <w:rFonts w:cs="Times New Roman"/>
              </w:rPr>
              <w:t>Ciljana vrijednost (2026.)</w:t>
            </w:r>
          </w:p>
        </w:tc>
      </w:tr>
      <w:tr w:rsidR="00B32153">
        <w:trPr>
          <w:jc w:val="center"/>
        </w:trPr>
        <w:tc>
          <w:tcPr>
            <w:tcW w:w="2245" w:type="dxa"/>
            <w:vAlign w:val="top"/>
          </w:tcPr>
          <w:p w:rsidR="00B32153" w:rsidRDefault="00103DC5">
            <w:pPr>
              <w:pStyle w:val="CellColumn"/>
              <w:jc w:val="left"/>
            </w:pPr>
            <w:r>
              <w:rPr>
                <w:rFonts w:cs="Times New Roman"/>
              </w:rPr>
              <w:t>Podmirivanje svih obveza po zajmu u rokovima dospijeća</w:t>
            </w:r>
          </w:p>
        </w:tc>
        <w:tc>
          <w:tcPr>
            <w:tcW w:w="2245" w:type="dxa"/>
            <w:vAlign w:val="top"/>
          </w:tcPr>
          <w:p w:rsidR="00B32153" w:rsidRDefault="00103DC5">
            <w:pPr>
              <w:pStyle w:val="CellColumn"/>
              <w:jc w:val="left"/>
            </w:pPr>
            <w:r>
              <w:rPr>
                <w:rFonts w:cs="Times New Roman"/>
              </w:rPr>
              <w:t>Podmirivanje svih obveza po zajmu, kojim je  realizirana izgradnja vanjskih vezova sukladno ugovoru o zajmu</w:t>
            </w:r>
          </w:p>
        </w:tc>
        <w:tc>
          <w:tcPr>
            <w:tcW w:w="918" w:type="dxa"/>
          </w:tcPr>
          <w:p w:rsidR="00B32153" w:rsidRDefault="00103DC5">
            <w:pPr>
              <w:jc w:val="center"/>
            </w:pPr>
            <w:r>
              <w:t>%</w:t>
            </w:r>
          </w:p>
        </w:tc>
        <w:tc>
          <w:tcPr>
            <w:tcW w:w="918" w:type="dxa"/>
          </w:tcPr>
          <w:p w:rsidR="00B32153" w:rsidRDefault="00103DC5">
            <w:pPr>
              <w:jc w:val="center"/>
            </w:pPr>
            <w:r>
              <w:t>0</w:t>
            </w:r>
          </w:p>
        </w:tc>
        <w:tc>
          <w:tcPr>
            <w:tcW w:w="918" w:type="dxa"/>
          </w:tcPr>
          <w:p w:rsidR="00B32153" w:rsidRDefault="00103DC5">
            <w:pPr>
              <w:pStyle w:val="CellColumn"/>
              <w:jc w:val="center"/>
            </w:pPr>
            <w:r>
              <w:rPr>
                <w:rFonts w:cs="Times New Roman"/>
              </w:rPr>
              <w:t>Lučka uprava Split</w:t>
            </w:r>
          </w:p>
        </w:tc>
        <w:tc>
          <w:tcPr>
            <w:tcW w:w="918" w:type="dxa"/>
          </w:tcPr>
          <w:p w:rsidR="00B32153" w:rsidRDefault="00103DC5">
            <w:pPr>
              <w:jc w:val="center"/>
            </w:pPr>
            <w:r>
              <w:t>100</w:t>
            </w:r>
          </w:p>
        </w:tc>
        <w:tc>
          <w:tcPr>
            <w:tcW w:w="918" w:type="dxa"/>
          </w:tcPr>
          <w:p w:rsidR="00B32153" w:rsidRDefault="00103DC5">
            <w:pPr>
              <w:jc w:val="center"/>
            </w:pPr>
            <w:r>
              <w:t>100</w:t>
            </w:r>
          </w:p>
        </w:tc>
        <w:tc>
          <w:tcPr>
            <w:tcW w:w="918" w:type="dxa"/>
          </w:tcPr>
          <w:p w:rsidR="00B32153" w:rsidRDefault="00103DC5">
            <w:pPr>
              <w:jc w:val="center"/>
            </w:pPr>
            <w:r>
              <w:t>100</w:t>
            </w:r>
          </w:p>
        </w:tc>
      </w:tr>
    </w:tbl>
    <w:p w:rsidR="00B32153" w:rsidRDefault="00B32153">
      <w:pPr>
        <w:jc w:val="left"/>
      </w:pPr>
    </w:p>
    <w:sectPr w:rsidR="00B32153"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34F" w:rsidRDefault="00A5434F" w:rsidP="00F352E6">
      <w:r>
        <w:separator/>
      </w:r>
    </w:p>
  </w:endnote>
  <w:endnote w:type="continuationSeparator" w:id="0">
    <w:p w:rsidR="00A5434F" w:rsidRDefault="00A5434F"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A5434F"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34F" w:rsidRDefault="00A5434F" w:rsidP="00F352E6">
      <w:r>
        <w:separator/>
      </w:r>
    </w:p>
  </w:footnote>
  <w:footnote w:type="continuationSeparator" w:id="0">
    <w:p w:rsidR="00A5434F" w:rsidRDefault="00A5434F" w:rsidP="00F352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A5434F"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3DC5"/>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02DA"/>
    <w:rsid w:val="008636E2"/>
    <w:rsid w:val="008A7E2A"/>
    <w:rsid w:val="009359F2"/>
    <w:rsid w:val="0094382E"/>
    <w:rsid w:val="00951B1A"/>
    <w:rsid w:val="009E33D3"/>
    <w:rsid w:val="00A021A2"/>
    <w:rsid w:val="00A320E5"/>
    <w:rsid w:val="00A5434F"/>
    <w:rsid w:val="00A70582"/>
    <w:rsid w:val="00AB5FEA"/>
    <w:rsid w:val="00AB7B4E"/>
    <w:rsid w:val="00B15946"/>
    <w:rsid w:val="00B2737F"/>
    <w:rsid w:val="00B31E2E"/>
    <w:rsid w:val="00B32153"/>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 w:val="00FF0D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BD03-AD32-4ACE-96C0-E4F3EA19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4706</Words>
  <Characters>26827</Characters>
  <Application>Microsoft Office Word</Application>
  <DocSecurity>0</DocSecurity>
  <Lines>223</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Dragana Antisic</cp:lastModifiedBy>
  <cp:revision>2</cp:revision>
  <dcterms:created xsi:type="dcterms:W3CDTF">2024-02-07T10:49:00Z</dcterms:created>
  <dcterms:modified xsi:type="dcterms:W3CDTF">2024-02-07T10:49:00Z</dcterms:modified>
</cp:coreProperties>
</file>