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1FC68" w14:textId="77777777" w:rsidR="007A7E45" w:rsidRPr="00FE4B89" w:rsidRDefault="007A7E45" w:rsidP="00FE4B89"/>
    <w:p w14:paraId="1DCCC8AC" w14:textId="77777777" w:rsidR="0059005C" w:rsidRDefault="00000000">
      <w:pPr>
        <w:pStyle w:val="Heading1"/>
      </w:pPr>
      <w:r>
        <w:t>OBRAZLOŽENJE OPĆEG DIJELA FINANCIJSKOG PLANA</w:t>
      </w:r>
    </w:p>
    <w:p w14:paraId="543B2C60" w14:textId="77777777" w:rsidR="0059005C" w:rsidRDefault="00000000">
      <w:pPr>
        <w:pStyle w:val="Heading2"/>
      </w:pPr>
      <w:r>
        <w:t>51327 Lučka uprava Split</w:t>
      </w:r>
    </w:p>
    <w:p w14:paraId="7D223A0F" w14:textId="77777777" w:rsidR="0059005C" w:rsidRDefault="00000000">
      <w:r>
        <w:t xml:space="preserve">PRIHODI I PRIMICI  </w:t>
      </w:r>
    </w:p>
    <w:p w14:paraId="251A53D4" w14:textId="77777777" w:rsidR="0059005C" w:rsidRDefault="00000000">
      <w:r>
        <w:t xml:space="preserve">Lučka uprava Split planira prihode i primitke u iznosu od 22.705.550 EUR za 2025.godinu, 22.058.551 EUR za 2026. godinu te 12.029.458 EUR za 2027. godinu.  </w:t>
      </w:r>
    </w:p>
    <w:p w14:paraId="7E0EA196" w14:textId="77777777" w:rsidR="0059005C" w:rsidRDefault="00000000">
      <w:r>
        <w:t xml:space="preserve"> </w:t>
      </w:r>
    </w:p>
    <w:p w14:paraId="1259F2D4" w14:textId="77777777" w:rsidR="0059005C" w:rsidRDefault="00000000">
      <w:r>
        <w:t xml:space="preserve">U 2025 god. namjenski prihodi Lučke uprave Split po osnovi naknada za koncesije i lučke pristojbe planiraju se u iznosu od 7.967.054 EUR, oznaka izvora 43. </w:t>
      </w:r>
    </w:p>
    <w:p w14:paraId="1FC561E5" w14:textId="77777777" w:rsidR="0059005C" w:rsidRDefault="00000000">
      <w:r>
        <w:t xml:space="preserve">Vlastiti prihodi su planirani u iznosu od 60.000 EUR, oznaka izvora 31. </w:t>
      </w:r>
    </w:p>
    <w:p w14:paraId="72494E7A" w14:textId="77777777" w:rsidR="0059005C" w:rsidRDefault="00000000">
      <w:r>
        <w:t xml:space="preserve">Iz namjenskih prihoda i zadržanih sredstava iz prethodnih razdoblja, oznaka izvora 43,  planirano je financiranje aktivnosti administracije i upravljanja, gradnje i održavanja te iznos od 1.068.000 EUR  za financiranje otplate 30% glavnice zajma EBRD-a te godišnje obveze po  kamati na zajam. </w:t>
      </w:r>
    </w:p>
    <w:p w14:paraId="015498AF" w14:textId="77777777" w:rsidR="0059005C" w:rsidRDefault="00000000">
      <w:r>
        <w:t xml:space="preserve">Prihodi iz nadležnog proračuna za financiranje izdataka za financijsku imovinu i otplatu zajmova u iznosu od 1.459.951 EUR,  odnose se na otplatu 70% godišnje glavnice za  dugoročni zajam EBRD-a, oznaka izvora 11. </w:t>
      </w:r>
    </w:p>
    <w:p w14:paraId="25721684" w14:textId="77777777" w:rsidR="0059005C" w:rsidRDefault="00000000">
      <w:r>
        <w:t xml:space="preserve">Prihodi iz nadležnog proračuna za financiranje rashoda poslovanja iznose 331.807 EUR, izvor 11, a  odnose se na financiranje tekućeg i investicijskog održavanja. </w:t>
      </w:r>
    </w:p>
    <w:p w14:paraId="24D68E7D" w14:textId="77777777" w:rsidR="0059005C" w:rsidRDefault="00000000">
      <w:r>
        <w:t xml:space="preserve">Prihodi za financiranje projekata u 2025. godini  </w:t>
      </w:r>
    </w:p>
    <w:p w14:paraId="562509CB" w14:textId="77777777" w:rsidR="0059005C" w:rsidRDefault="00000000">
      <w:r>
        <w:t xml:space="preserve">Financiranje projekta Izgradnje ribarske luke u Komiži u ukupnom iznosu od 3.947.000 EUR je predviđeno iz sredstava Državnog proračuna i to Ministarstva mora, prometa i infrastrukture, oznaka izvora 11 te Ministarstva poljoprivrede, šumarstva i ribarstva oznaka izvora 52. </w:t>
      </w:r>
    </w:p>
    <w:p w14:paraId="65F591AA" w14:textId="77777777" w:rsidR="0059005C" w:rsidRDefault="00000000">
      <w:r>
        <w:t xml:space="preserve">Financiranje Projekta izgradnje novog  putničkog terminala u Gradskoj luci u Splitu u iznosu od  3.971.425 EUR će se izvršiti iz sredstava nadležnog proračuna za financiranje rashoda za nabavu nefinancijske imovine temeljem Odluke Vlade RH, dok će iznos od 3.700.000 EUR-a biti financiran iz  NPOO, oznaka izvora je 581.   </w:t>
      </w:r>
    </w:p>
    <w:p w14:paraId="18E211E8" w14:textId="77777777" w:rsidR="0059005C" w:rsidRDefault="00000000">
      <w:r>
        <w:t xml:space="preserve"> </w:t>
      </w:r>
    </w:p>
    <w:p w14:paraId="33D5C161" w14:textId="77777777" w:rsidR="0059005C" w:rsidRDefault="00000000">
      <w:r>
        <w:t xml:space="preserve">Financiranje projekata iz programa Konkurentnost i kohezija 2021-2027, u 2025. godini se financira iz prihoda nadležnog proračuna za financiranje rashoda za nabavu nefinancijske imovine u iznosu od 111.948 EUR, oznake izvora 12, dok iznos od 804.895EUR  se financira iz izvora 562. Predmetni projekt se sastoji od dva  podprojekta i to:1.  Rekonstrukcija i proširenje Gata sv Petra u Gradskoj luci  Split i 2. Izgradnja pomorsko putničkog terminala Resnik u lučkom području kaštelanskog bazena D. </w:t>
      </w:r>
    </w:p>
    <w:p w14:paraId="2A6886BF" w14:textId="77777777" w:rsidR="0059005C" w:rsidRDefault="00000000">
      <w:r>
        <w:t xml:space="preserve"> </w:t>
      </w:r>
    </w:p>
    <w:p w14:paraId="0706256E" w14:textId="77777777" w:rsidR="0059005C" w:rsidRDefault="00000000">
      <w:r>
        <w:t xml:space="preserve">Pomoći iz inozemstva i od subjekata unutar općeg proračuna u ukupnom iznosu od 850 EUR izvor 559, čine sredstva za projekt Rekonstrukcije i proširenja  Sjeverne luke u Vranjičko -solinskom bazenu pod upravom Lučke uprave Split – Stinice. </w:t>
      </w:r>
    </w:p>
    <w:p w14:paraId="11D6B0D9" w14:textId="77777777" w:rsidR="0059005C" w:rsidRDefault="00000000">
      <w:r>
        <w:t xml:space="preserve"> </w:t>
      </w:r>
    </w:p>
    <w:p w14:paraId="744B3E09" w14:textId="77777777" w:rsidR="0059005C" w:rsidRDefault="00000000">
      <w:r>
        <w:t xml:space="preserve">Pomoći iz inozemstva i od subjekata unutar općeg proračuna u ukupnom iznosu od 280.478 EUR čine EU sredstva za projekte:  </w:t>
      </w:r>
    </w:p>
    <w:p w14:paraId="0597CADF" w14:textId="77777777" w:rsidR="0059005C" w:rsidRDefault="00000000">
      <w:r>
        <w:t xml:space="preserve">Projekti se financiraju iz namjenskih izvora ( izvor 43)u visini 15% i pomoći iz inozemstva (izvor 559) u visini od 85% . </w:t>
      </w:r>
    </w:p>
    <w:p w14:paraId="2B4E7A32" w14:textId="77777777" w:rsidR="0059005C" w:rsidRDefault="00000000">
      <w:r>
        <w:t xml:space="preserve">CYSCROMS- Kibernetička sigurnost u hrvatskom pomorskom prometu  </w:t>
      </w:r>
    </w:p>
    <w:p w14:paraId="7CB297F1" w14:textId="77777777" w:rsidR="0059005C" w:rsidRDefault="00000000">
      <w:r>
        <w:t xml:space="preserve">DIGITPORTS –Digitalne dvostruke aplikacije za sigurnije i zelenije poslovanje luka na Jadranu </w:t>
      </w:r>
    </w:p>
    <w:p w14:paraId="6A7BF933" w14:textId="77777777" w:rsidR="0059005C" w:rsidRDefault="00000000">
      <w:r>
        <w:t xml:space="preserve">FISHNOWASTE- Smanjenje i upravljanje otpadom u ribarskim lukama Jadranskog mora za promicanje održivog ribarstva  </w:t>
      </w:r>
    </w:p>
    <w:p w14:paraId="31141516" w14:textId="77777777" w:rsidR="0059005C" w:rsidRDefault="00000000">
      <w:r>
        <w:t xml:space="preserve">ADRION – Pomorska operativna učinkovitost  </w:t>
      </w:r>
    </w:p>
    <w:p w14:paraId="6A79B49F" w14:textId="77777777" w:rsidR="0059005C" w:rsidRDefault="00000000">
      <w:r>
        <w:t xml:space="preserve">ADRION -Premošćivanje plovnh putova Jadransko -Jonske regije  </w:t>
      </w:r>
    </w:p>
    <w:p w14:paraId="5A132A7A" w14:textId="77777777" w:rsidR="0059005C" w:rsidRDefault="00000000">
      <w:r>
        <w:lastRenderedPageBreak/>
        <w:t xml:space="preserve"> </w:t>
      </w:r>
    </w:p>
    <w:p w14:paraId="2C5167AF" w14:textId="77777777" w:rsidR="0059005C" w:rsidRDefault="00000000">
      <w:r>
        <w:t xml:space="preserve"> </w:t>
      </w:r>
    </w:p>
    <w:p w14:paraId="4A03647D" w14:textId="77777777" w:rsidR="0059005C" w:rsidRDefault="00000000">
      <w:r>
        <w:t xml:space="preserve">Financiranje projekta iz Konkurentnost i kohezija, prioritetna os 7. Povezanost i mobilnost  - Uvođenje inteligentnih transportnih sustava na funkcionalnom prometnom području grada Splita  iznosi  23.300 EUR-a. Financiraju se tekući troškovi poslovanja  iz izvora 562.  </w:t>
      </w:r>
    </w:p>
    <w:p w14:paraId="7F32E6EC" w14:textId="77777777" w:rsidR="0059005C" w:rsidRDefault="00000000">
      <w:r>
        <w:t xml:space="preserve"> </w:t>
      </w:r>
    </w:p>
    <w:p w14:paraId="5ED1F1EE" w14:textId="77777777" w:rsidR="0059005C" w:rsidRDefault="00000000">
      <w:r>
        <w:t xml:space="preserve">2026. godina  </w:t>
      </w:r>
    </w:p>
    <w:p w14:paraId="373B1D97" w14:textId="77777777" w:rsidR="0059005C" w:rsidRDefault="00000000">
      <w:r>
        <w:t xml:space="preserve"> </w:t>
      </w:r>
    </w:p>
    <w:p w14:paraId="71EAF36F" w14:textId="77777777" w:rsidR="0059005C" w:rsidRDefault="00000000">
      <w:r>
        <w:t xml:space="preserve">Planirani prihodi za 2026. godinu se najvećim dijelom odnose na prihode temeljem kapitalne pomoći od institucija i tijela EU za projekte iz programa  Konkurentnost i kohezija u iznosu od 4.500.000 EUR, oznaka  izvora 562 te 511.658 EUR, oznaka izvora 12.  </w:t>
      </w:r>
    </w:p>
    <w:p w14:paraId="5D89D166" w14:textId="77777777" w:rsidR="0059005C" w:rsidRDefault="00000000">
      <w:r>
        <w:t xml:space="preserve">Prihodi iz nadležnog proračuna za financiranje rashoda za nabavu nefinancijske imovine se odnose na izgradnju novog putničkog terminala, a financiraju se u iznosu od 2.000.000 EUR izvora 11,  dok je iznos od 1.000.000 EUR iz  programa NPOO, oznaka izvora 581. </w:t>
      </w:r>
    </w:p>
    <w:p w14:paraId="0B331B70" w14:textId="77777777" w:rsidR="0059005C" w:rsidRDefault="00000000">
      <w:r>
        <w:t xml:space="preserve">Planirani  prihodi  od naknada za koncesije i ostalih naknada i pristojbi za posebne namjene iznose 6.185.682 EUR, izvor 43, dok prihodi od pruženih usluga iznose 60.000 EUR oznaka izvora 31. Prihodi iz nadležnog proračuna za financiranje rashoda poslovanja iznose 331.807 EUR, izvor 11. </w:t>
      </w:r>
    </w:p>
    <w:p w14:paraId="42B041F2" w14:textId="77777777" w:rsidR="0059005C" w:rsidRDefault="00000000">
      <w:r>
        <w:t xml:space="preserve"> </w:t>
      </w:r>
    </w:p>
    <w:p w14:paraId="7EDECBD5" w14:textId="77777777" w:rsidR="0059005C" w:rsidRDefault="00000000">
      <w:r>
        <w:t xml:space="preserve">Primici iz nadležnog proračuna za financiranje izdataka za financijsku imovinu u 2026. god. u iznosu od 1.459.951 EUR godišnje se odnose na otplatu 70% glavnice zajma prema EBRD-u kojim je financirana izgradnja vanjskih vezova, oznaka izvora 11. </w:t>
      </w:r>
    </w:p>
    <w:p w14:paraId="443EB24D" w14:textId="77777777" w:rsidR="0059005C" w:rsidRDefault="00000000">
      <w:r>
        <w:t xml:space="preserve"> </w:t>
      </w:r>
    </w:p>
    <w:p w14:paraId="344AFAA2" w14:textId="77777777" w:rsidR="0059005C" w:rsidRDefault="00000000">
      <w:r>
        <w:t xml:space="preserve">Financiranje projekta Izgradnje ribarske luke u Komiži u ukupnom iznosu od 5.640.000 EUR je predviđeno iz sredstava Državnog proračuna i to Ministarstva mora, prometa i infrastrukture, oznaka izvora 11 te Ministarstva poljoprivrede, šumarstva i ribarstva oznaka izvora 52. </w:t>
      </w:r>
    </w:p>
    <w:p w14:paraId="3B7DD758" w14:textId="77777777" w:rsidR="0059005C" w:rsidRDefault="00000000">
      <w:r>
        <w:t xml:space="preserve"> </w:t>
      </w:r>
    </w:p>
    <w:p w14:paraId="65BB112D" w14:textId="77777777" w:rsidR="0059005C" w:rsidRDefault="00000000">
      <w:r>
        <w:t xml:space="preserve">Pomoći iz inozemstva i od subjekata unutar općeg proračuna u ukupnom iznosu od 850 EUR izvor 559, čine sredstva za projekt Rekonstrukcije i proširenja  Sjeverne luke u Vranjičko -solinskom bazenu pod upravom Lučke uprave Split – Stinice. </w:t>
      </w:r>
    </w:p>
    <w:p w14:paraId="548ECCC1" w14:textId="77777777" w:rsidR="0059005C" w:rsidRDefault="00000000">
      <w:r>
        <w:t xml:space="preserve"> </w:t>
      </w:r>
    </w:p>
    <w:p w14:paraId="0551E70D" w14:textId="77777777" w:rsidR="0059005C" w:rsidRDefault="00000000">
      <w:r>
        <w:t xml:space="preserve">Pomoći iz inozemstva i od subjekata unutar općeg proračuna u ukupnom iznosu od 325.807 EUR čine EU sredstva za projekte:  </w:t>
      </w:r>
    </w:p>
    <w:p w14:paraId="32199685" w14:textId="77777777" w:rsidR="0059005C" w:rsidRDefault="00000000">
      <w:r>
        <w:t xml:space="preserve">CYSCROMS- Kibernetička sigurnost u hrvatskom pomorskom prometu ,  </w:t>
      </w:r>
    </w:p>
    <w:p w14:paraId="1AB03A05" w14:textId="77777777" w:rsidR="0059005C" w:rsidRDefault="00000000">
      <w:r>
        <w:t xml:space="preserve">DIGITPORTS –Digitalne dvostruke aplikacije za sigurnije i zelenije poslovanje luka na Jadranu, FISHNOWASTE- Smanjenje i upravljanje otpadom u ribarskim lukama Jadranskog mora za promicanje održivog ribarstva. </w:t>
      </w:r>
    </w:p>
    <w:p w14:paraId="75AE9327" w14:textId="77777777" w:rsidR="0059005C" w:rsidRDefault="00000000">
      <w:r>
        <w:t xml:space="preserve">ADRION – Pomorska operativna učinkovitost  </w:t>
      </w:r>
    </w:p>
    <w:p w14:paraId="455027FE" w14:textId="77777777" w:rsidR="0059005C" w:rsidRDefault="00000000">
      <w:r>
        <w:t xml:space="preserve">ADRION -Premošćivanje plovnh putova Jadransko -Jonske regije  </w:t>
      </w:r>
    </w:p>
    <w:p w14:paraId="2F1B199C" w14:textId="77777777" w:rsidR="0059005C" w:rsidRDefault="00000000">
      <w:r>
        <w:t xml:space="preserve"> </w:t>
      </w:r>
    </w:p>
    <w:p w14:paraId="3DB24373" w14:textId="77777777" w:rsidR="0059005C" w:rsidRDefault="00000000">
      <w:r>
        <w:t xml:space="preserve"> </w:t>
      </w:r>
    </w:p>
    <w:p w14:paraId="7AD25B14" w14:textId="77777777" w:rsidR="0059005C" w:rsidRDefault="00000000">
      <w:r>
        <w:t xml:space="preserve">2027.godina  </w:t>
      </w:r>
    </w:p>
    <w:p w14:paraId="72FD1954" w14:textId="77777777" w:rsidR="0059005C" w:rsidRDefault="00000000">
      <w:r>
        <w:t xml:space="preserve"> </w:t>
      </w:r>
    </w:p>
    <w:p w14:paraId="72C1B083" w14:textId="77777777" w:rsidR="0059005C" w:rsidRDefault="00000000">
      <w:r>
        <w:t xml:space="preserve">Planirani prihodi za 2027. godinu se odnose na prihode temeljem kapitalne pomoći od institucija i tijela EU za projekte iz programa  Konkurentnost i kohezija u iznosu od 1.00.000 EUR, oznaka  izvora 562 te iznos od 156.000 EUR, oznaka 12.  </w:t>
      </w:r>
    </w:p>
    <w:p w14:paraId="0B9D7B51" w14:textId="77777777" w:rsidR="0059005C" w:rsidRDefault="00000000">
      <w:r>
        <w:lastRenderedPageBreak/>
        <w:t xml:space="preserve">Planirani  prihodi  od naknada za koncesije i ostalih naknada i pristojbi za posebne namjene iznose 5.958.400 EUR, izvor 43, prihodi od pruženih usluga iznose 50.000 EUR, dok prihodi iz nadležnog proračuna za financiranje rashoda poslovanja iznose 331.807 EUR, izvor 11. </w:t>
      </w:r>
    </w:p>
    <w:p w14:paraId="3390914B" w14:textId="77777777" w:rsidR="0059005C" w:rsidRDefault="00000000">
      <w:r>
        <w:t xml:space="preserve"> </w:t>
      </w:r>
    </w:p>
    <w:p w14:paraId="4C22ACEF" w14:textId="77777777" w:rsidR="0059005C" w:rsidRDefault="00000000">
      <w:r>
        <w:t xml:space="preserve">Primici iz nadležnog proračuna za financiranje izdataka za financijsku imovinu u 2027. god. u iznosu od 1.459.951 EUR godišnje se odnose na otplatu 70% glavnice zajma prema EBRD-u kojim je financirana izgradnja vanjskih vezova, oznaka izvora 11. </w:t>
      </w:r>
    </w:p>
    <w:p w14:paraId="695119A0" w14:textId="77777777" w:rsidR="0059005C" w:rsidRDefault="00000000">
      <w:r>
        <w:t xml:space="preserve"> </w:t>
      </w:r>
    </w:p>
    <w:p w14:paraId="6750EFEE" w14:textId="77777777" w:rsidR="0059005C" w:rsidRDefault="00000000">
      <w:r>
        <w:t xml:space="preserve">Financiranje projekta Izgradnje ribarske luke u Komiži u ukupnom iznosu od 2.200.000 EUR je predviđeno iz sredstava Državnog proračuna i to Ministarstva mora, prometa i infrastrukture, oznaka izvora 11 te Ministarstva poljoprivrede, šumarstva i ribarstva oznaka izvora 52. </w:t>
      </w:r>
    </w:p>
    <w:p w14:paraId="27117160" w14:textId="77777777" w:rsidR="0059005C" w:rsidRDefault="00000000">
      <w:r>
        <w:t xml:space="preserve"> </w:t>
      </w:r>
    </w:p>
    <w:p w14:paraId="633749A3" w14:textId="77777777" w:rsidR="0059005C" w:rsidRDefault="00000000">
      <w:r>
        <w:t xml:space="preserve">Pomoći iz inozemstva i od subjekata unutar općeg proračuna u ukupnom iznosu od 850.000 EUR izvor 559, čine sredstva za projekt Rekonstrukcije i proširenja  Sjeverne luke u Vranjičko -solinskom bazenu pod upravom Lučke uprave Split – Stinice. </w:t>
      </w:r>
    </w:p>
    <w:p w14:paraId="5B10E348" w14:textId="77777777" w:rsidR="0059005C" w:rsidRDefault="00000000">
      <w:r>
        <w:t xml:space="preserve"> </w:t>
      </w:r>
    </w:p>
    <w:p w14:paraId="31EC1EAB" w14:textId="77777777" w:rsidR="0059005C" w:rsidRDefault="00000000">
      <w:r>
        <w:t xml:space="preserve"> </w:t>
      </w:r>
    </w:p>
    <w:p w14:paraId="4A6153F9" w14:textId="77777777" w:rsidR="0059005C" w:rsidRDefault="00000000">
      <w:r>
        <w:t xml:space="preserve">RASHODI I IZDACI </w:t>
      </w:r>
    </w:p>
    <w:p w14:paraId="12DF46BC" w14:textId="77777777" w:rsidR="0059005C" w:rsidRDefault="00000000">
      <w:r>
        <w:t xml:space="preserve"> </w:t>
      </w:r>
    </w:p>
    <w:p w14:paraId="1AA95485" w14:textId="77777777" w:rsidR="0059005C" w:rsidRDefault="00000000">
      <w:r>
        <w:t xml:space="preserve">Rashodi poslovanja u 2025.godini  koji se odnose na aktivnosti administracije i održavanja, a  koje se obavljaju u svrhu redovnog poslovanja u iznosu 3.988.899 EUR,  financiraju se iz izvora 43 i 31. Materijalni troškovi iznose 1.728.000 EUR i financiraju se iz izvora 43. Aktivnosti vezane za investicijske projekte te troškove investicijskog održavanja koje provodi Lučka uprava financiraju se iz izvora 43. Rashodi iz nadležnog proračuna za financiranje tekućeg i investicijskog održavanja iznose 331.807 EUR, izvor 11. Rashodi vezano za projekte iz Konkurentnost i kohezija se financiranju iz sredstava Državnog proračuna u visini 15% priznatih troškova u ukupnom iznosu od  111.948 EUR te   85% iz kohezijskog fonda u ukupnom iznosu od 804.195 EUR, a obuhvaćaju dva podprojekta:  </w:t>
      </w:r>
    </w:p>
    <w:p w14:paraId="6D1C2AF6" w14:textId="77777777" w:rsidR="0059005C" w:rsidRDefault="00000000">
      <w:r>
        <w:t xml:space="preserve">Rekonstrukcija i proširenje Gata sv. Petra u gradskoj luci te Izgradnja putničko pomorskog terminala-Resnik </w:t>
      </w:r>
    </w:p>
    <w:p w14:paraId="6CA9057E" w14:textId="77777777" w:rsidR="0059005C" w:rsidRDefault="00000000">
      <w:r>
        <w:t xml:space="preserve">Rashodi vezano za izgradnju Ribarske luke Komiža se financiraju iz sredstava Državnog proračuna i to Ministarstva mra, prometa i infrastrukture i Ministarstva poljoprivrede, šumarstva i ribarstva.   </w:t>
      </w:r>
    </w:p>
    <w:p w14:paraId="2B44A2CB" w14:textId="77777777" w:rsidR="0059005C" w:rsidRDefault="00000000">
      <w:r>
        <w:t xml:space="preserve">Rashodi vezano za projekt izgradnje Putničkog terminala u gradskoj luci financira prema Programu mehanizam i otpornost, izvor 581 i sredstava Državnog proračuna, izvor 11. </w:t>
      </w:r>
    </w:p>
    <w:p w14:paraId="03260E81" w14:textId="77777777" w:rsidR="0059005C" w:rsidRDefault="00000000">
      <w:r>
        <w:t xml:space="preserve">Pomoći iz inozemstva odnosno  EU fonda Interreg V-A Italija-Hrvatska iz programa prekogranične suradnje  financiraju se projekti:  </w:t>
      </w:r>
    </w:p>
    <w:p w14:paraId="66072CA6" w14:textId="77777777" w:rsidR="0059005C" w:rsidRDefault="00000000">
      <w:r>
        <w:t xml:space="preserve">CYSCROMS- Kibernetička sigurnost u hrvatskom pomorskom prometu , iznos od 101.732 EUR </w:t>
      </w:r>
    </w:p>
    <w:p w14:paraId="3C48C894" w14:textId="77777777" w:rsidR="0059005C" w:rsidRDefault="00000000">
      <w:r>
        <w:t xml:space="preserve">DIGITPORTS –Digitalne dvostruke aplikacije za sigurnije i zelenije poslovanje luka na Jadranu, iznos od 175.100EUR  </w:t>
      </w:r>
    </w:p>
    <w:p w14:paraId="4F43B24D" w14:textId="77777777" w:rsidR="0059005C" w:rsidRDefault="00000000">
      <w:r>
        <w:t xml:space="preserve">FISHNOWASTE- Smanjenje i upravljanje otpadom u ribarskim lukama Jadranskog mora za promicanje održivog ribarstva, iznos od 124.030 EUR </w:t>
      </w:r>
    </w:p>
    <w:p w14:paraId="731C1A52" w14:textId="77777777" w:rsidR="0059005C" w:rsidRDefault="00000000">
      <w:r>
        <w:t xml:space="preserve">ADRION – Pomorska operativna učinkovitost u iznosu od 27.750 EUR </w:t>
      </w:r>
    </w:p>
    <w:p w14:paraId="182AC0A4" w14:textId="77777777" w:rsidR="0059005C" w:rsidRDefault="00000000">
      <w:r>
        <w:t xml:space="preserve">ADRION -Premošćivanje plovnh putova Jadransko -Jonske regije u iznosu od 31.980 EUR. </w:t>
      </w:r>
    </w:p>
    <w:p w14:paraId="3B2D0901" w14:textId="77777777" w:rsidR="0059005C" w:rsidRDefault="00000000">
      <w:r>
        <w:t xml:space="preserve"> </w:t>
      </w:r>
    </w:p>
    <w:p w14:paraId="49BF3265" w14:textId="77777777" w:rsidR="0059005C" w:rsidRDefault="00000000">
      <w:r>
        <w:t xml:space="preserve">Rashodi u 2026. godini se najvećim dijelom odnose na izgradnju dva podprojekta u okviru Programa Konkurenost i kohezija  u iznosu od 5.011.658 EUR i to: iznos od 511.658 EUR iz izvora 12, a 4.500.000 EUR iz izvora 562. Planirani rashodi za Putničkog terminal u gradskoj luci u ukupnom iznosu od 3.000.000 EUR se financira  prema Programu mehanizam i otpornost u  iznosu od 1.000.000 EUR, izvor 581, a iznos od 2.000.000 EUR iz izvora 11.  </w:t>
      </w:r>
    </w:p>
    <w:p w14:paraId="46FD2E06" w14:textId="77777777" w:rsidR="0059005C" w:rsidRDefault="00000000">
      <w:r>
        <w:t xml:space="preserve">Rashodi vezano za izgradnju Ribarske luke Komiža se financiraju iz sredstava Državnog proračuna u iznosu od 3.640.000 EUR te  preko Ministarstva poljoprivrede, šumarstva i ribarstva  u ukupnom iznosu od 2.000.000 EUR.   </w:t>
      </w:r>
    </w:p>
    <w:p w14:paraId="79DB7424" w14:textId="77777777" w:rsidR="0059005C" w:rsidRDefault="00000000">
      <w:r>
        <w:lastRenderedPageBreak/>
        <w:t xml:space="preserve">Pomoći iz inozemstva odnosno  EU fonda Interreg V-A Italija-Hrvatska iz programa prekogranične suradnje  financiraju se projekti:  </w:t>
      </w:r>
    </w:p>
    <w:p w14:paraId="730392B8" w14:textId="77777777" w:rsidR="0059005C" w:rsidRDefault="00000000">
      <w:r>
        <w:t xml:space="preserve">CYSCROMS- Kibernetička sigurnost u hrvatskom pomorskom prometu, u ukupnom iznosu od 50.866 EUR </w:t>
      </w:r>
    </w:p>
    <w:p w14:paraId="6B20909B" w14:textId="77777777" w:rsidR="0059005C" w:rsidRDefault="00000000">
      <w:r>
        <w:t xml:space="preserve">DIGITPORTS –Digitalne dvostruke aplikacije za sigurnije i zelenije poslovanje luka na Jadranu, u iznosu 145.700 EUR </w:t>
      </w:r>
    </w:p>
    <w:p w14:paraId="5B587C93" w14:textId="77777777" w:rsidR="0059005C" w:rsidRDefault="00000000">
      <w:r>
        <w:t xml:space="preserve"> FISHNOWASTE- Smanjenje i upravljanje otpadom u ribarskim lukama Jadranskog mora za promicanje održivog ribarstva u iznosu od 37.230EUR. </w:t>
      </w:r>
    </w:p>
    <w:p w14:paraId="6CAFED64" w14:textId="77777777" w:rsidR="0059005C" w:rsidRDefault="00000000">
      <w:r>
        <w:t xml:space="preserve">ADRION – Pomorska operativna učinkovitostu iznosu od 41.250 EUR </w:t>
      </w:r>
    </w:p>
    <w:p w14:paraId="3432F4F0" w14:textId="77777777" w:rsidR="0059005C" w:rsidRDefault="00000000">
      <w:r>
        <w:t xml:space="preserve">ADRION -Premošćivanje plovnh putova Jadransko -Jonske regije u iznosu od 114.570 EUR. </w:t>
      </w:r>
    </w:p>
    <w:p w14:paraId="21EB6C56" w14:textId="77777777" w:rsidR="0059005C" w:rsidRDefault="00000000">
      <w:r>
        <w:t xml:space="preserve"> </w:t>
      </w:r>
    </w:p>
    <w:p w14:paraId="5FA7EE37" w14:textId="77777777" w:rsidR="0059005C" w:rsidRDefault="00000000">
      <w:r>
        <w:t xml:space="preserve">Rashodi u 2027. godini se najvećim dijelom odnose na izgradnju dva podprojketa u okviru Programa Konkurenost i kohezija  u iznosu od 1.156.000 EUR. Rashodi za  izgradnju Ribarske luke Komiža se financiraju iz sredstava Državnog proračuna, preko Ministarstva mora, prometa i infrastrukture u iznosu od 200.000 EUR i preko Ministarstva poljoprivrede, šumarstva  i ribarstva   u iznosu od 2.000.000 EUR.   </w:t>
      </w:r>
    </w:p>
    <w:p w14:paraId="486A9F0E" w14:textId="77777777" w:rsidR="0059005C" w:rsidRDefault="00000000">
      <w:r>
        <w:t xml:space="preserve"> </w:t>
      </w:r>
    </w:p>
    <w:p w14:paraId="3D64A537" w14:textId="77777777" w:rsidR="0059005C" w:rsidRDefault="00000000">
      <w:r>
        <w:t xml:space="preserve">Izdaci za financijsku imovinu i otplatu zajma  prema EBRD-u, godišnje iznose cca 2.017.000 EUR, a krajnja otplata zajma dospijeva u 2028. god., od čega se 1.459.951 EUR financira iz sredstava proračuna , izvor 11, a 558.000 EUR iz izvora 43. </w:t>
      </w:r>
    </w:p>
    <w:p w14:paraId="5923139C" w14:textId="77777777" w:rsidR="0059005C" w:rsidRDefault="00000000">
      <w:r>
        <w:t xml:space="preserve"> </w:t>
      </w:r>
    </w:p>
    <w:p w14:paraId="31B41F57" w14:textId="77777777" w:rsidR="0059005C" w:rsidRDefault="00000000">
      <w:r>
        <w:t xml:space="preserve">PRIJENOS SREDSTAVA IZ PRETHODNE U SLIJEDEĆU GODINU </w:t>
      </w:r>
    </w:p>
    <w:p w14:paraId="66231403" w14:textId="77777777" w:rsidR="0059005C" w:rsidRDefault="00000000">
      <w:r>
        <w:t xml:space="preserve"> </w:t>
      </w:r>
    </w:p>
    <w:p w14:paraId="6AC394E6" w14:textId="57E24408" w:rsidR="0059005C" w:rsidRPr="00CA2F3B" w:rsidRDefault="00000000">
      <w:r>
        <w:t xml:space="preserve">Prijenos sredstava iskazan u 2025.g  </w:t>
      </w:r>
      <w:r w:rsidRPr="00CA2F3B">
        <w:t>iznosi 3.</w:t>
      </w:r>
      <w:r w:rsidR="00CA2F3B" w:rsidRPr="00CA2F3B">
        <w:t>463.</w:t>
      </w:r>
      <w:r w:rsidRPr="00CA2F3B">
        <w:t>826 EUR, proizlazi iz namjenskih prihoda</w:t>
      </w:r>
      <w:r w:rsidR="00CA2F3B">
        <w:t xml:space="preserve"> lučke uprave.</w:t>
      </w:r>
    </w:p>
    <w:p w14:paraId="2786F9F3" w14:textId="77777777" w:rsidR="0059005C" w:rsidRDefault="00000000">
      <w:r w:rsidRPr="00CA2F3B">
        <w:t xml:space="preserve">Planiranje neutrošenih sredstva koja se prenose u slijedeću god. je obvezno </w:t>
      </w:r>
      <w:r>
        <w:t xml:space="preserve">iz razloga što najveće namjenske prihode lučka uprava ostvaruje tijekom ljetne turističke  sezone i predmetna sredstva se koriste za podmirivanje rashoda tekućeg poslovanja prvih mjeseci svake slijedeće godine. </w:t>
      </w:r>
    </w:p>
    <w:p w14:paraId="002F9B26" w14:textId="77777777" w:rsidR="0059005C" w:rsidRDefault="00000000">
      <w:r>
        <w:t xml:space="preserve">  </w:t>
      </w:r>
    </w:p>
    <w:p w14:paraId="3D5FB94D" w14:textId="77777777" w:rsidR="0059005C" w:rsidRDefault="00000000">
      <w:r>
        <w:t xml:space="preserve">   </w:t>
      </w:r>
    </w:p>
    <w:p w14:paraId="1C54972B" w14:textId="77777777" w:rsidR="0059005C" w:rsidRDefault="00000000">
      <w:r>
        <w:t xml:space="preserve">UKUPNE I DOSPJELE OBVEZE (u eurima)  </w:t>
      </w:r>
    </w:p>
    <w:p w14:paraId="74380676" w14:textId="77777777" w:rsidR="0059005C" w:rsidRDefault="00000000">
      <w:r>
        <w:t xml:space="preserve"> </w:t>
      </w:r>
    </w:p>
    <w:p w14:paraId="245CE5C3" w14:textId="77777777" w:rsidR="0059005C" w:rsidRDefault="00000000">
      <w:r>
        <w:t xml:space="preserve"> </w:t>
      </w:r>
      <w:r>
        <w:tab/>
        <w:t xml:space="preserve">                  Stanje obveza na dan 31.12.2023.</w:t>
      </w:r>
      <w:r>
        <w:tab/>
        <w:t xml:space="preserve">        Stanje obveza na dan 30.06.2024. </w:t>
      </w:r>
    </w:p>
    <w:p w14:paraId="1AE73E49" w14:textId="77777777" w:rsidR="0059005C" w:rsidRDefault="00000000">
      <w:r>
        <w:t>Ukupne obveze</w:t>
      </w:r>
      <w:r>
        <w:tab/>
      </w:r>
      <w:r>
        <w:tab/>
        <w:t xml:space="preserve">                     9.453.644,03</w:t>
      </w:r>
      <w:r>
        <w:tab/>
      </w:r>
      <w:r>
        <w:tab/>
        <w:t xml:space="preserve">                           9.206.090,20  </w:t>
      </w:r>
    </w:p>
    <w:p w14:paraId="344D4532" w14:textId="77777777" w:rsidR="0059005C" w:rsidRDefault="00000000">
      <w:r>
        <w:t>Dospjele obveze</w:t>
      </w:r>
      <w:r>
        <w:tab/>
      </w:r>
      <w:r>
        <w:tab/>
      </w:r>
      <w:r>
        <w:tab/>
        <w:t xml:space="preserve">                           0,00</w:t>
      </w:r>
      <w:r>
        <w:tab/>
        <w:t xml:space="preserve">                                                 0,00</w:t>
      </w:r>
    </w:p>
    <w:sectPr w:rsidR="0059005C"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FE229" w14:textId="77777777" w:rsidR="00086F06" w:rsidRDefault="00086F06" w:rsidP="00F352E6">
      <w:r>
        <w:separator/>
      </w:r>
    </w:p>
  </w:endnote>
  <w:endnote w:type="continuationSeparator" w:id="0">
    <w:p w14:paraId="3B1A9E0F" w14:textId="77777777" w:rsidR="00086F06" w:rsidRDefault="00086F06"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C0878" w14:textId="77777777" w:rsidR="00664BFD" w:rsidRPr="00D769ED" w:rsidRDefault="00664BFD"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6DFD3" w14:textId="77777777" w:rsidR="00086F06" w:rsidRDefault="00086F06" w:rsidP="00F352E6">
      <w:r>
        <w:separator/>
      </w:r>
    </w:p>
  </w:footnote>
  <w:footnote w:type="continuationSeparator" w:id="0">
    <w:p w14:paraId="21020654" w14:textId="77777777" w:rsidR="00086F06" w:rsidRDefault="00086F06"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E9E06" w14:textId="77777777" w:rsidR="00664BFD" w:rsidRDefault="00664BFD"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86F06"/>
    <w:rsid w:val="000B55EA"/>
    <w:rsid w:val="000C0A6C"/>
    <w:rsid w:val="0010779D"/>
    <w:rsid w:val="0013155A"/>
    <w:rsid w:val="0017490A"/>
    <w:rsid w:val="001E5246"/>
    <w:rsid w:val="0027042C"/>
    <w:rsid w:val="00287F72"/>
    <w:rsid w:val="00311AA1"/>
    <w:rsid w:val="00382225"/>
    <w:rsid w:val="00386953"/>
    <w:rsid w:val="00463609"/>
    <w:rsid w:val="00480C76"/>
    <w:rsid w:val="004C01B5"/>
    <w:rsid w:val="005015C8"/>
    <w:rsid w:val="0052289C"/>
    <w:rsid w:val="00524A66"/>
    <w:rsid w:val="00526A7C"/>
    <w:rsid w:val="0059005C"/>
    <w:rsid w:val="005A70C0"/>
    <w:rsid w:val="005B6ED7"/>
    <w:rsid w:val="005C27FC"/>
    <w:rsid w:val="005E2D85"/>
    <w:rsid w:val="0060028E"/>
    <w:rsid w:val="00633683"/>
    <w:rsid w:val="00664BFD"/>
    <w:rsid w:val="00674346"/>
    <w:rsid w:val="006B3283"/>
    <w:rsid w:val="007665AA"/>
    <w:rsid w:val="007A7E45"/>
    <w:rsid w:val="007D1C46"/>
    <w:rsid w:val="007D395B"/>
    <w:rsid w:val="007D4430"/>
    <w:rsid w:val="007F2329"/>
    <w:rsid w:val="00847495"/>
    <w:rsid w:val="008636E2"/>
    <w:rsid w:val="008A7E2A"/>
    <w:rsid w:val="009359F2"/>
    <w:rsid w:val="0094382E"/>
    <w:rsid w:val="00951B1A"/>
    <w:rsid w:val="009E33D3"/>
    <w:rsid w:val="00A021A2"/>
    <w:rsid w:val="00A320E5"/>
    <w:rsid w:val="00A70582"/>
    <w:rsid w:val="00A75F55"/>
    <w:rsid w:val="00AB5FEA"/>
    <w:rsid w:val="00AB7B4E"/>
    <w:rsid w:val="00B06949"/>
    <w:rsid w:val="00B15946"/>
    <w:rsid w:val="00B2737F"/>
    <w:rsid w:val="00B31E2E"/>
    <w:rsid w:val="00B41BF8"/>
    <w:rsid w:val="00BA487B"/>
    <w:rsid w:val="00BA7BD1"/>
    <w:rsid w:val="00BB642B"/>
    <w:rsid w:val="00BD766A"/>
    <w:rsid w:val="00BF02E9"/>
    <w:rsid w:val="00BF3F24"/>
    <w:rsid w:val="00C7470A"/>
    <w:rsid w:val="00CA2F3B"/>
    <w:rsid w:val="00CE1323"/>
    <w:rsid w:val="00DE2416"/>
    <w:rsid w:val="00E152E6"/>
    <w:rsid w:val="00E42E87"/>
    <w:rsid w:val="00E62EF0"/>
    <w:rsid w:val="00E73D28"/>
    <w:rsid w:val="00ED0E3A"/>
    <w:rsid w:val="00F34218"/>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58FB"/>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Dragana Antišić</cp:lastModifiedBy>
  <cp:revision>2</cp:revision>
  <dcterms:created xsi:type="dcterms:W3CDTF">2024-12-31T10:06:00Z</dcterms:created>
  <dcterms:modified xsi:type="dcterms:W3CDTF">2024-12-31T10:06:00Z</dcterms:modified>
</cp:coreProperties>
</file>