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23C" w14:textId="77777777" w:rsidR="007A7E45" w:rsidRPr="00FE4B89" w:rsidRDefault="007A7E45" w:rsidP="00FE4B89"/>
    <w:p w14:paraId="347F8550" w14:textId="77777777" w:rsidR="002452BB" w:rsidRDefault="00000000">
      <w:pPr>
        <w:pStyle w:val="Heading3"/>
      </w:pPr>
      <w:r>
        <w:rPr>
          <w:rFonts w:cs="Times New Roman"/>
        </w:rPr>
        <w:t>51327 Lučka uprava Split</w:t>
      </w:r>
    </w:p>
    <w:p w14:paraId="1B2A2CC6" w14:textId="6AE25F05" w:rsidR="002452BB" w:rsidRDefault="00000000">
      <w:r>
        <w:t xml:space="preserve">Lučka uprava Split je ustanova kojoj je osnivač Republika Hrvatska. Osnovana je radi upravljanja, izgradnje i korištenja luke Split u skladu s odredbama Zakona o pomorskom dobru i morskim lukama. Uredbom o osnivanju lučke uprave Split (NN 36/2025),  uređuju se statusna i druga pitanja od značaja za rad i poslovanje Lučke uprave Split.  </w:t>
      </w:r>
    </w:p>
    <w:p w14:paraId="3C04722F" w14:textId="77777777" w:rsidR="002452BB" w:rsidRDefault="00000000">
      <w:r>
        <w:t xml:space="preserve">Lučka uprava obavlja poslove vezane uz gradnju, održavanje, upravljanje, zaštitu i unapređenje pomorskog dobra na lučkom području luke Split te gradi i održava lučku podgradnju, obavlja stručni nadzor nad gradnjom, održavanjem, upravljanjem i zaštitom lučke podgradnje i nadgradnje, osigurava trajno i nesmetano obavljanje lučkog prometa i sigurnosti plovidbe, usklađuje i nadzire rad ovlaštenika koncesije koji obavljaju lučku i gospodarsku djelatnost na lučkom području, donosi odluke o osnivanju i upravljanju slobodnom zonom na lučkom području te obavlja druge poslove u skladu sa Zakonom. </w:t>
      </w:r>
    </w:p>
    <w:p w14:paraId="119D4F24" w14:textId="77777777" w:rsidR="002452BB" w:rsidRDefault="00000000">
      <w:r>
        <w:t>Sredstva za rad osiguravaju se iz lučkih pristojbi, naknada od koncesija, državnog proračuna i ostalih prihoda. Sredstvima iz državnog proračuna i namjenskim sredstvima Lučke uprave financira se izgradnja i održavanje lučke podgradnje, a ostala sredstva su namijenjena za izgradnju i održavanje lučke nadgradnje i podgradnje, opremanje luke opremom za zaštitu mora od onečišćenja s brodova, održavanje dubine u luci i na sidrištu luke te za troškove poslovanja.</w:t>
      </w:r>
    </w:p>
    <w:tbl>
      <w:tblPr>
        <w:tblStyle w:val="StilTablice"/>
        <w:tblW w:w="10206" w:type="dxa"/>
        <w:jc w:val="center"/>
        <w:tblLook w:val="04A0" w:firstRow="1" w:lastRow="0" w:firstColumn="1" w:lastColumn="0" w:noHBand="0" w:noVBand="1"/>
      </w:tblPr>
      <w:tblGrid>
        <w:gridCol w:w="1815"/>
        <w:gridCol w:w="1988"/>
        <w:gridCol w:w="1988"/>
        <w:gridCol w:w="1988"/>
        <w:gridCol w:w="1211"/>
        <w:gridCol w:w="1216"/>
      </w:tblGrid>
      <w:tr w:rsidR="002452BB" w14:paraId="2760E35F" w14:textId="77777777">
        <w:trPr>
          <w:jc w:val="center"/>
        </w:trPr>
        <w:tc>
          <w:tcPr>
            <w:tcW w:w="1632" w:type="dxa"/>
            <w:shd w:val="clear" w:color="auto" w:fill="B5C0D8"/>
          </w:tcPr>
          <w:p w14:paraId="5AF1D84A" w14:textId="77777777" w:rsidR="002452BB" w:rsidRDefault="002452BB">
            <w:pPr>
              <w:pStyle w:val="CellHeader"/>
              <w:jc w:val="center"/>
            </w:pPr>
          </w:p>
        </w:tc>
        <w:tc>
          <w:tcPr>
            <w:tcW w:w="2041" w:type="dxa"/>
            <w:shd w:val="clear" w:color="auto" w:fill="B5C0D8"/>
          </w:tcPr>
          <w:p w14:paraId="0B038247" w14:textId="77777777" w:rsidR="002452BB" w:rsidRDefault="00000000">
            <w:pPr>
              <w:pStyle w:val="CellHeader"/>
              <w:jc w:val="center"/>
            </w:pPr>
            <w:r>
              <w:rPr>
                <w:rFonts w:cs="Times New Roman"/>
              </w:rPr>
              <w:t>Izvršenje 2024. (eur)</w:t>
            </w:r>
          </w:p>
        </w:tc>
        <w:tc>
          <w:tcPr>
            <w:tcW w:w="2041" w:type="dxa"/>
            <w:shd w:val="clear" w:color="auto" w:fill="B5C0D8"/>
          </w:tcPr>
          <w:p w14:paraId="20A986C8" w14:textId="77777777" w:rsidR="002452BB" w:rsidRDefault="00000000">
            <w:pPr>
              <w:pStyle w:val="CellHeader"/>
              <w:jc w:val="center"/>
            </w:pPr>
            <w:r>
              <w:rPr>
                <w:rFonts w:cs="Times New Roman"/>
              </w:rPr>
              <w:t>Plan 2025. (eur)</w:t>
            </w:r>
          </w:p>
        </w:tc>
        <w:tc>
          <w:tcPr>
            <w:tcW w:w="2041" w:type="dxa"/>
            <w:shd w:val="clear" w:color="auto" w:fill="B5C0D8"/>
          </w:tcPr>
          <w:p w14:paraId="22A467D9" w14:textId="77777777" w:rsidR="002452BB" w:rsidRDefault="00000000">
            <w:pPr>
              <w:pStyle w:val="CellHeader"/>
              <w:jc w:val="center"/>
            </w:pPr>
            <w:r>
              <w:rPr>
                <w:rFonts w:cs="Times New Roman"/>
              </w:rPr>
              <w:t>Izvršenje 2025. (eur)</w:t>
            </w:r>
          </w:p>
        </w:tc>
        <w:tc>
          <w:tcPr>
            <w:tcW w:w="1224" w:type="dxa"/>
            <w:shd w:val="clear" w:color="auto" w:fill="B5C0D8"/>
          </w:tcPr>
          <w:p w14:paraId="1830A45C" w14:textId="77777777" w:rsidR="002452BB" w:rsidRDefault="00000000">
            <w:pPr>
              <w:pStyle w:val="CellHeader"/>
              <w:jc w:val="center"/>
            </w:pPr>
            <w:r>
              <w:rPr>
                <w:rFonts w:cs="Times New Roman"/>
              </w:rPr>
              <w:t>Indeks izvršenje 2025./plan 2025.</w:t>
            </w:r>
          </w:p>
        </w:tc>
        <w:tc>
          <w:tcPr>
            <w:tcW w:w="1224" w:type="dxa"/>
            <w:shd w:val="clear" w:color="auto" w:fill="B5C0D8"/>
          </w:tcPr>
          <w:p w14:paraId="1D1E1D90" w14:textId="77777777" w:rsidR="002452BB" w:rsidRDefault="00000000">
            <w:pPr>
              <w:pStyle w:val="CellHeader"/>
              <w:jc w:val="center"/>
            </w:pPr>
            <w:r>
              <w:rPr>
                <w:rFonts w:cs="Times New Roman"/>
              </w:rPr>
              <w:t>Indeks izvršenje 2025./2024.</w:t>
            </w:r>
          </w:p>
        </w:tc>
      </w:tr>
      <w:tr w:rsidR="002452BB" w14:paraId="59C592CC" w14:textId="77777777">
        <w:trPr>
          <w:jc w:val="center"/>
        </w:trPr>
        <w:tc>
          <w:tcPr>
            <w:tcW w:w="1632" w:type="dxa"/>
          </w:tcPr>
          <w:p w14:paraId="4AFF86FB" w14:textId="77777777" w:rsidR="002452BB" w:rsidRDefault="00000000">
            <w:pPr>
              <w:pStyle w:val="CellColumn"/>
              <w:jc w:val="left"/>
            </w:pPr>
            <w:r>
              <w:rPr>
                <w:rFonts w:cs="Times New Roman"/>
              </w:rPr>
              <w:t>51327-Lučka uprava Split</w:t>
            </w:r>
          </w:p>
        </w:tc>
        <w:tc>
          <w:tcPr>
            <w:tcW w:w="2041" w:type="dxa"/>
          </w:tcPr>
          <w:p w14:paraId="47EA325C" w14:textId="77777777" w:rsidR="002452BB" w:rsidRDefault="00000000">
            <w:pPr>
              <w:pStyle w:val="CellColumn"/>
              <w:jc w:val="right"/>
            </w:pPr>
            <w:r>
              <w:rPr>
                <w:rFonts w:cs="Times New Roman"/>
              </w:rPr>
              <w:t>11.769.276</w:t>
            </w:r>
          </w:p>
        </w:tc>
        <w:tc>
          <w:tcPr>
            <w:tcW w:w="2041" w:type="dxa"/>
          </w:tcPr>
          <w:p w14:paraId="7E9AD1D4" w14:textId="77777777" w:rsidR="002452BB" w:rsidRDefault="00000000">
            <w:pPr>
              <w:pStyle w:val="CellColumn"/>
              <w:jc w:val="right"/>
            </w:pPr>
            <w:r>
              <w:rPr>
                <w:rFonts w:cs="Times New Roman"/>
              </w:rPr>
              <w:t>26.110.059</w:t>
            </w:r>
          </w:p>
        </w:tc>
        <w:tc>
          <w:tcPr>
            <w:tcW w:w="2041" w:type="dxa"/>
          </w:tcPr>
          <w:p w14:paraId="1470AD20" w14:textId="77777777" w:rsidR="002452BB" w:rsidRDefault="00000000">
            <w:pPr>
              <w:pStyle w:val="CellColumn"/>
              <w:jc w:val="right"/>
            </w:pPr>
            <w:r>
              <w:rPr>
                <w:rFonts w:cs="Times New Roman"/>
              </w:rPr>
              <w:t>23.095.916</w:t>
            </w:r>
          </w:p>
        </w:tc>
        <w:tc>
          <w:tcPr>
            <w:tcW w:w="1224" w:type="dxa"/>
          </w:tcPr>
          <w:p w14:paraId="41AE68E3" w14:textId="77777777" w:rsidR="002452BB" w:rsidRDefault="00000000">
            <w:pPr>
              <w:pStyle w:val="CellColumn"/>
              <w:jc w:val="right"/>
            </w:pPr>
            <w:r>
              <w:rPr>
                <w:rFonts w:cs="Times New Roman"/>
              </w:rPr>
              <w:t>88,5</w:t>
            </w:r>
          </w:p>
        </w:tc>
        <w:tc>
          <w:tcPr>
            <w:tcW w:w="1224" w:type="dxa"/>
          </w:tcPr>
          <w:p w14:paraId="5AFA9226" w14:textId="77777777" w:rsidR="002452BB" w:rsidRDefault="00000000">
            <w:pPr>
              <w:pStyle w:val="CellColumn"/>
              <w:jc w:val="right"/>
            </w:pPr>
            <w:r>
              <w:rPr>
                <w:rFonts w:cs="Times New Roman"/>
              </w:rPr>
              <w:t>196,2</w:t>
            </w:r>
          </w:p>
        </w:tc>
      </w:tr>
      <w:tr w:rsidR="002452BB" w14:paraId="4B7FB3F0" w14:textId="77777777">
        <w:trPr>
          <w:jc w:val="center"/>
        </w:trPr>
        <w:tc>
          <w:tcPr>
            <w:tcW w:w="1632" w:type="dxa"/>
          </w:tcPr>
          <w:p w14:paraId="0B9D7188" w14:textId="77777777" w:rsidR="002452BB" w:rsidRDefault="00000000">
            <w:pPr>
              <w:jc w:val="left"/>
            </w:pPr>
            <w:r>
              <w:t>3111-PRIPREMA I PROVEDBA PROJEKATA SUFINANCIRANIH SREDSTVIMA FONDOVA EU</w:t>
            </w:r>
          </w:p>
        </w:tc>
        <w:tc>
          <w:tcPr>
            <w:tcW w:w="2041" w:type="dxa"/>
          </w:tcPr>
          <w:p w14:paraId="32192495" w14:textId="77777777" w:rsidR="002452BB" w:rsidRDefault="00000000">
            <w:pPr>
              <w:jc w:val="right"/>
            </w:pPr>
            <w:r>
              <w:t>2.546.806</w:t>
            </w:r>
          </w:p>
        </w:tc>
        <w:tc>
          <w:tcPr>
            <w:tcW w:w="2041" w:type="dxa"/>
          </w:tcPr>
          <w:p w14:paraId="099D281F" w14:textId="77777777" w:rsidR="002452BB" w:rsidRDefault="00000000">
            <w:pPr>
              <w:jc w:val="right"/>
            </w:pPr>
            <w:r>
              <w:t>10.521.045</w:t>
            </w:r>
          </w:p>
        </w:tc>
        <w:tc>
          <w:tcPr>
            <w:tcW w:w="2041" w:type="dxa"/>
          </w:tcPr>
          <w:p w14:paraId="6D18E561" w14:textId="77777777" w:rsidR="002452BB" w:rsidRDefault="00000000">
            <w:pPr>
              <w:jc w:val="right"/>
            </w:pPr>
            <w:r>
              <w:t>7.541.357</w:t>
            </w:r>
          </w:p>
        </w:tc>
        <w:tc>
          <w:tcPr>
            <w:tcW w:w="1224" w:type="dxa"/>
          </w:tcPr>
          <w:p w14:paraId="6F24BC50" w14:textId="77777777" w:rsidR="002452BB" w:rsidRDefault="00000000">
            <w:pPr>
              <w:jc w:val="right"/>
            </w:pPr>
            <w:r>
              <w:t>71,7</w:t>
            </w:r>
          </w:p>
        </w:tc>
        <w:tc>
          <w:tcPr>
            <w:tcW w:w="1224" w:type="dxa"/>
          </w:tcPr>
          <w:p w14:paraId="6F592F7D" w14:textId="77777777" w:rsidR="002452BB" w:rsidRDefault="00000000">
            <w:pPr>
              <w:jc w:val="right"/>
            </w:pPr>
            <w:r>
              <w:t>296,1</w:t>
            </w:r>
          </w:p>
        </w:tc>
      </w:tr>
      <w:tr w:rsidR="002452BB" w14:paraId="1638898E" w14:textId="77777777">
        <w:trPr>
          <w:jc w:val="center"/>
        </w:trPr>
        <w:tc>
          <w:tcPr>
            <w:tcW w:w="1632" w:type="dxa"/>
          </w:tcPr>
          <w:p w14:paraId="7D26DCD2" w14:textId="77777777" w:rsidR="002452BB" w:rsidRDefault="00000000">
            <w:pPr>
              <w:jc w:val="left"/>
            </w:pPr>
            <w:r>
              <w:t>3116-RAZVOJ SUSTAVA POMORSKOG PROMETA, POMORSKOG DOBRA I LUKA, TE ZAŠTITA OKOLIŠA OD ONEČIŠĆENJA S POMORSKIH OBJEKATA</w:t>
            </w:r>
          </w:p>
        </w:tc>
        <w:tc>
          <w:tcPr>
            <w:tcW w:w="2041" w:type="dxa"/>
          </w:tcPr>
          <w:p w14:paraId="56F24DF0" w14:textId="77777777" w:rsidR="002452BB" w:rsidRDefault="00000000">
            <w:pPr>
              <w:jc w:val="right"/>
            </w:pPr>
            <w:r>
              <w:t>9.222.469</w:t>
            </w:r>
          </w:p>
        </w:tc>
        <w:tc>
          <w:tcPr>
            <w:tcW w:w="2041" w:type="dxa"/>
          </w:tcPr>
          <w:p w14:paraId="28A4CE86" w14:textId="77777777" w:rsidR="002452BB" w:rsidRDefault="00000000">
            <w:pPr>
              <w:jc w:val="right"/>
            </w:pPr>
            <w:r>
              <w:t>15.589.014</w:t>
            </w:r>
          </w:p>
        </w:tc>
        <w:tc>
          <w:tcPr>
            <w:tcW w:w="2041" w:type="dxa"/>
          </w:tcPr>
          <w:p w14:paraId="5593B874" w14:textId="77777777" w:rsidR="002452BB" w:rsidRDefault="00000000">
            <w:pPr>
              <w:jc w:val="right"/>
            </w:pPr>
            <w:r>
              <w:t>15.554.558</w:t>
            </w:r>
          </w:p>
        </w:tc>
        <w:tc>
          <w:tcPr>
            <w:tcW w:w="1224" w:type="dxa"/>
          </w:tcPr>
          <w:p w14:paraId="1F1828D0" w14:textId="77777777" w:rsidR="002452BB" w:rsidRDefault="00000000">
            <w:pPr>
              <w:jc w:val="right"/>
            </w:pPr>
            <w:r>
              <w:t>99,8</w:t>
            </w:r>
          </w:p>
        </w:tc>
        <w:tc>
          <w:tcPr>
            <w:tcW w:w="1224" w:type="dxa"/>
          </w:tcPr>
          <w:p w14:paraId="7CE271E6" w14:textId="77777777" w:rsidR="002452BB" w:rsidRDefault="00000000">
            <w:pPr>
              <w:jc w:val="right"/>
            </w:pPr>
            <w:r>
              <w:t>168,7</w:t>
            </w:r>
          </w:p>
        </w:tc>
      </w:tr>
    </w:tbl>
    <w:p w14:paraId="1201CFF3" w14:textId="77777777" w:rsidR="002452BB" w:rsidRDefault="002452BB">
      <w:pPr>
        <w:jc w:val="left"/>
      </w:pPr>
    </w:p>
    <w:p w14:paraId="6A935C11" w14:textId="77777777" w:rsidR="002452BB" w:rsidRDefault="00000000">
      <w:pPr>
        <w:pStyle w:val="Heading3"/>
      </w:pPr>
      <w:r>
        <w:rPr>
          <w:rFonts w:cs="Times New Roman"/>
        </w:rPr>
        <w:t>3111 PRIPREMA I PROVEDBA PROJEKATA SUFINANCIRANIH SREDSTVIMA FONDOVA EU</w:t>
      </w:r>
    </w:p>
    <w:tbl>
      <w:tblPr>
        <w:tblStyle w:val="StilTablice"/>
        <w:tblW w:w="10206" w:type="dxa"/>
        <w:jc w:val="center"/>
        <w:tblLook w:val="04A0" w:firstRow="1" w:lastRow="0" w:firstColumn="1" w:lastColumn="0" w:noHBand="0" w:noVBand="1"/>
      </w:tblPr>
      <w:tblGrid>
        <w:gridCol w:w="1816"/>
        <w:gridCol w:w="1986"/>
        <w:gridCol w:w="1991"/>
        <w:gridCol w:w="1986"/>
        <w:gridCol w:w="1211"/>
        <w:gridCol w:w="1216"/>
      </w:tblGrid>
      <w:tr w:rsidR="002452BB" w14:paraId="1DB05BA1" w14:textId="77777777">
        <w:trPr>
          <w:jc w:val="center"/>
        </w:trPr>
        <w:tc>
          <w:tcPr>
            <w:tcW w:w="1632" w:type="dxa"/>
            <w:shd w:val="clear" w:color="auto" w:fill="B5C0D8"/>
          </w:tcPr>
          <w:p w14:paraId="323FDA42" w14:textId="77777777" w:rsidR="002452BB" w:rsidRDefault="002452BB">
            <w:pPr>
              <w:pStyle w:val="CellHeader"/>
            </w:pPr>
          </w:p>
        </w:tc>
        <w:tc>
          <w:tcPr>
            <w:tcW w:w="2041" w:type="dxa"/>
            <w:shd w:val="clear" w:color="auto" w:fill="B5C0D8"/>
          </w:tcPr>
          <w:p w14:paraId="56A4E6E6" w14:textId="77777777" w:rsidR="002452BB" w:rsidRDefault="00000000">
            <w:pPr>
              <w:pStyle w:val="CellHeader"/>
              <w:jc w:val="center"/>
            </w:pPr>
            <w:r>
              <w:rPr>
                <w:rFonts w:cs="Times New Roman"/>
              </w:rPr>
              <w:t>Izvršenje 2024. (eur)</w:t>
            </w:r>
          </w:p>
        </w:tc>
        <w:tc>
          <w:tcPr>
            <w:tcW w:w="2041" w:type="dxa"/>
            <w:shd w:val="clear" w:color="auto" w:fill="B5C0D8"/>
          </w:tcPr>
          <w:p w14:paraId="0F3AE5FE" w14:textId="77777777" w:rsidR="002452BB" w:rsidRDefault="00000000">
            <w:pPr>
              <w:pStyle w:val="CellHeader"/>
              <w:jc w:val="center"/>
            </w:pPr>
            <w:r>
              <w:rPr>
                <w:rFonts w:cs="Times New Roman"/>
              </w:rPr>
              <w:t>Plan 2025. (eur)</w:t>
            </w:r>
          </w:p>
        </w:tc>
        <w:tc>
          <w:tcPr>
            <w:tcW w:w="2041" w:type="dxa"/>
            <w:shd w:val="clear" w:color="auto" w:fill="B5C0D8"/>
          </w:tcPr>
          <w:p w14:paraId="6195EBFB" w14:textId="77777777" w:rsidR="002452BB" w:rsidRDefault="00000000">
            <w:pPr>
              <w:pStyle w:val="CellHeader"/>
              <w:jc w:val="center"/>
            </w:pPr>
            <w:r>
              <w:rPr>
                <w:rFonts w:cs="Times New Roman"/>
              </w:rPr>
              <w:t>Izvršenje 2025. (eur)</w:t>
            </w:r>
          </w:p>
        </w:tc>
        <w:tc>
          <w:tcPr>
            <w:tcW w:w="1224" w:type="dxa"/>
            <w:shd w:val="clear" w:color="auto" w:fill="B5C0D8"/>
          </w:tcPr>
          <w:p w14:paraId="4F8AEA8D" w14:textId="77777777" w:rsidR="002452BB" w:rsidRDefault="00000000">
            <w:pPr>
              <w:pStyle w:val="CellHeader"/>
              <w:jc w:val="center"/>
            </w:pPr>
            <w:r>
              <w:rPr>
                <w:rFonts w:cs="Times New Roman"/>
              </w:rPr>
              <w:t>Indeks izvršenje 2025./plan 2025.</w:t>
            </w:r>
          </w:p>
        </w:tc>
        <w:tc>
          <w:tcPr>
            <w:tcW w:w="1224" w:type="dxa"/>
            <w:shd w:val="clear" w:color="auto" w:fill="B5C0D8"/>
          </w:tcPr>
          <w:p w14:paraId="1F55126B" w14:textId="77777777" w:rsidR="002452BB" w:rsidRDefault="00000000">
            <w:pPr>
              <w:pStyle w:val="CellHeader"/>
              <w:jc w:val="center"/>
            </w:pPr>
            <w:r>
              <w:rPr>
                <w:rFonts w:cs="Times New Roman"/>
              </w:rPr>
              <w:t>Index izvršenje 2025./2024.</w:t>
            </w:r>
          </w:p>
        </w:tc>
      </w:tr>
      <w:tr w:rsidR="002452BB" w14:paraId="504889A1" w14:textId="77777777">
        <w:trPr>
          <w:jc w:val="center"/>
        </w:trPr>
        <w:tc>
          <w:tcPr>
            <w:tcW w:w="1632" w:type="dxa"/>
          </w:tcPr>
          <w:p w14:paraId="11B7F147" w14:textId="77777777" w:rsidR="002452BB" w:rsidRDefault="00000000">
            <w:pPr>
              <w:pStyle w:val="CellColumn"/>
              <w:jc w:val="left"/>
            </w:pPr>
            <w:r>
              <w:rPr>
                <w:rFonts w:cs="Times New Roman"/>
              </w:rPr>
              <w:lastRenderedPageBreak/>
              <w:t>3111-PRIPREMA I PROVEDBA PROJEKATA SUFINANCIRANIH SREDSTVIMA FONDOVA EU</w:t>
            </w:r>
          </w:p>
        </w:tc>
        <w:tc>
          <w:tcPr>
            <w:tcW w:w="2041" w:type="dxa"/>
          </w:tcPr>
          <w:p w14:paraId="58AFF6B3" w14:textId="77777777" w:rsidR="002452BB" w:rsidRDefault="00000000">
            <w:pPr>
              <w:pStyle w:val="CellColumn"/>
              <w:jc w:val="right"/>
            </w:pPr>
            <w:r>
              <w:rPr>
                <w:rFonts w:cs="Times New Roman"/>
              </w:rPr>
              <w:t>2.546.806</w:t>
            </w:r>
          </w:p>
        </w:tc>
        <w:tc>
          <w:tcPr>
            <w:tcW w:w="2041" w:type="dxa"/>
          </w:tcPr>
          <w:p w14:paraId="71981CEC" w14:textId="77777777" w:rsidR="002452BB" w:rsidRDefault="00000000">
            <w:pPr>
              <w:pStyle w:val="CellColumn"/>
              <w:jc w:val="right"/>
            </w:pPr>
            <w:r>
              <w:rPr>
                <w:rFonts w:cs="Times New Roman"/>
              </w:rPr>
              <w:t>10.521.045</w:t>
            </w:r>
          </w:p>
        </w:tc>
        <w:tc>
          <w:tcPr>
            <w:tcW w:w="2041" w:type="dxa"/>
          </w:tcPr>
          <w:p w14:paraId="739A7926" w14:textId="77777777" w:rsidR="002452BB" w:rsidRDefault="00000000">
            <w:pPr>
              <w:pStyle w:val="CellColumn"/>
              <w:jc w:val="right"/>
            </w:pPr>
            <w:r>
              <w:rPr>
                <w:rFonts w:cs="Times New Roman"/>
              </w:rPr>
              <w:t>7.541.357</w:t>
            </w:r>
          </w:p>
        </w:tc>
        <w:tc>
          <w:tcPr>
            <w:tcW w:w="1224" w:type="dxa"/>
          </w:tcPr>
          <w:p w14:paraId="0826AAE8" w14:textId="77777777" w:rsidR="002452BB" w:rsidRDefault="00000000">
            <w:pPr>
              <w:pStyle w:val="CellColumn"/>
              <w:jc w:val="right"/>
            </w:pPr>
            <w:r>
              <w:rPr>
                <w:rFonts w:cs="Times New Roman"/>
              </w:rPr>
              <w:t>71,7</w:t>
            </w:r>
          </w:p>
        </w:tc>
        <w:tc>
          <w:tcPr>
            <w:tcW w:w="1224" w:type="dxa"/>
          </w:tcPr>
          <w:p w14:paraId="4E7742BF" w14:textId="77777777" w:rsidR="002452BB" w:rsidRDefault="00000000">
            <w:pPr>
              <w:pStyle w:val="CellColumn"/>
              <w:jc w:val="right"/>
            </w:pPr>
            <w:r>
              <w:rPr>
                <w:rFonts w:cs="Times New Roman"/>
              </w:rPr>
              <w:t>296,1</w:t>
            </w:r>
          </w:p>
        </w:tc>
      </w:tr>
    </w:tbl>
    <w:p w14:paraId="09D4C314" w14:textId="77777777" w:rsidR="002452BB" w:rsidRDefault="002452BB">
      <w:pPr>
        <w:jc w:val="left"/>
      </w:pPr>
    </w:p>
    <w:p w14:paraId="424C84B9" w14:textId="77777777" w:rsidR="002452BB" w:rsidRDefault="00000000">
      <w:pPr>
        <w:pStyle w:val="Heading8"/>
        <w:jc w:val="left"/>
      </w:pPr>
      <w:r>
        <w:t>Cilj 1. Uspješna priprema i praćenje provedbe projekata sufinanciranih sredstvima fondova EU</w:t>
      </w:r>
    </w:p>
    <w:p w14:paraId="0C8C785D" w14:textId="77777777" w:rsidR="002452BB" w:rsidRDefault="00000000">
      <w:pPr>
        <w:pStyle w:val="Heading8"/>
        <w:jc w:val="left"/>
      </w:pPr>
      <w:r>
        <w:t>Opis provedbe cilja programa</w:t>
      </w:r>
    </w:p>
    <w:p w14:paraId="03F24262" w14:textId="71708827" w:rsidR="002452BB" w:rsidRDefault="00000000">
      <w:r>
        <w:t xml:space="preserve">Provedba cilja programa ovisi o više čimbenika, a najčešća su </w:t>
      </w:r>
      <w:r w:rsidR="0066771B">
        <w:t xml:space="preserve">objektivna odstupanja </w:t>
      </w:r>
      <w:r>
        <w:t xml:space="preserve"> u provedbi projekata. Izgradnja Novog putničkog terminala u Gradskoj luci u 2025.godini nije završena zbog poteškoća u izvođenju pripremnih radova i okolnostima koje su usporile projekt. Stoga je rok  izvođenja radova  produžen na 2026. godinu. Projekti iz programa Konkurentnost i kohezija 2021-2027,  nisu realizirani prema planiranom dinamičkom planu izvođača radova, jer je tijekom izgradnje došlo do izmjena od strane izvođača radova</w:t>
      </w:r>
      <w:r w:rsidR="0066771B">
        <w:t xml:space="preserve">. </w:t>
      </w:r>
      <w:r>
        <w:t>Projekti INTEREG realiziraju se  u skladu s faznom logikom provedbe,</w:t>
      </w:r>
      <w:r w:rsidR="0066771B">
        <w:t xml:space="preserve"> </w:t>
      </w:r>
      <w:r>
        <w:t xml:space="preserve">a aktivnosti koje generiraju značajnije financijske učinke i ostvarenje pokazatelja rezultata </w:t>
      </w:r>
      <w:r w:rsidR="0066771B">
        <w:t xml:space="preserve">su vidljive </w:t>
      </w:r>
      <w:r>
        <w:t xml:space="preserve"> u kasnijim fazama provedbe. Slijedom navedenog, dio financijske realizacije koji nije ostvaren u 2025. godini bit će nadoknađen u 2026. godini, bez utjecaja na ukupne ciljeve projekata. Uzimajući u obzir da se paralelno provode infrastrukturni projekti visoke vrijednosti te projekti digitalizacije, OPS sustava </w:t>
      </w:r>
      <w:r w:rsidR="0008394F">
        <w:t>k</w:t>
      </w:r>
      <w:r>
        <w:t>oji uključuju dokumentacijske i pilot aktivnosti kao preduvjete investicija</w:t>
      </w:r>
      <w:r w:rsidR="0008394F">
        <w:t>,</w:t>
      </w:r>
      <w:r>
        <w:t xml:space="preserve"> bilo je nužno uskladiti dinamiku svih faza razvoja kako bi se osigurala optimalna, sinergijska provedba i ostvarenje multiplikativnih učinaka na funkcionalnost, sigurnost i održivost lučkog sustava.</w:t>
      </w:r>
    </w:p>
    <w:p w14:paraId="7FE95EB9" w14:textId="77777777" w:rsidR="002452BB"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2646ED8E" w14:textId="77777777">
        <w:trPr>
          <w:jc w:val="center"/>
        </w:trPr>
        <w:tc>
          <w:tcPr>
            <w:tcW w:w="2551" w:type="dxa"/>
            <w:shd w:val="clear" w:color="auto" w:fill="B5C0D8"/>
          </w:tcPr>
          <w:p w14:paraId="36E3D718" w14:textId="77777777" w:rsidR="002452BB" w:rsidRDefault="00000000">
            <w:pPr>
              <w:jc w:val="center"/>
            </w:pPr>
            <w:r>
              <w:t>Pokazatelj učinka</w:t>
            </w:r>
          </w:p>
        </w:tc>
        <w:tc>
          <w:tcPr>
            <w:tcW w:w="2551" w:type="dxa"/>
            <w:shd w:val="clear" w:color="auto" w:fill="B5C0D8"/>
          </w:tcPr>
          <w:p w14:paraId="5DBF7F2C" w14:textId="77777777" w:rsidR="002452BB" w:rsidRDefault="00000000">
            <w:pPr>
              <w:pStyle w:val="CellHeader"/>
              <w:jc w:val="center"/>
            </w:pPr>
            <w:r>
              <w:rPr>
                <w:rFonts w:cs="Times New Roman"/>
              </w:rPr>
              <w:t>Definicija</w:t>
            </w:r>
          </w:p>
        </w:tc>
        <w:tc>
          <w:tcPr>
            <w:tcW w:w="1020" w:type="dxa"/>
            <w:shd w:val="clear" w:color="auto" w:fill="B5C0D8"/>
          </w:tcPr>
          <w:p w14:paraId="167E9174" w14:textId="77777777" w:rsidR="002452BB" w:rsidRDefault="00000000">
            <w:pPr>
              <w:pStyle w:val="CellHeader"/>
              <w:jc w:val="center"/>
            </w:pPr>
            <w:r>
              <w:rPr>
                <w:rFonts w:cs="Times New Roman"/>
              </w:rPr>
              <w:t>Jedinica</w:t>
            </w:r>
          </w:p>
        </w:tc>
        <w:tc>
          <w:tcPr>
            <w:tcW w:w="1020" w:type="dxa"/>
            <w:shd w:val="clear" w:color="auto" w:fill="B5C0D8"/>
          </w:tcPr>
          <w:p w14:paraId="109EDA26" w14:textId="77777777" w:rsidR="002452BB" w:rsidRDefault="00000000">
            <w:pPr>
              <w:pStyle w:val="CellHeader"/>
              <w:jc w:val="center"/>
            </w:pPr>
            <w:r>
              <w:rPr>
                <w:rFonts w:cs="Times New Roman"/>
              </w:rPr>
              <w:t>Polazna vrijednost</w:t>
            </w:r>
          </w:p>
        </w:tc>
        <w:tc>
          <w:tcPr>
            <w:tcW w:w="1020" w:type="dxa"/>
            <w:shd w:val="clear" w:color="auto" w:fill="B5C0D8"/>
          </w:tcPr>
          <w:p w14:paraId="39239076" w14:textId="77777777" w:rsidR="002452BB" w:rsidRDefault="00000000">
            <w:pPr>
              <w:pStyle w:val="CellHeader"/>
              <w:jc w:val="center"/>
            </w:pPr>
            <w:r>
              <w:rPr>
                <w:rFonts w:cs="Times New Roman"/>
              </w:rPr>
              <w:t>Izvor podataka</w:t>
            </w:r>
          </w:p>
        </w:tc>
        <w:tc>
          <w:tcPr>
            <w:tcW w:w="1020" w:type="dxa"/>
            <w:shd w:val="clear" w:color="auto" w:fill="B5C0D8"/>
          </w:tcPr>
          <w:p w14:paraId="2469E299" w14:textId="77777777" w:rsidR="002452BB" w:rsidRDefault="00000000">
            <w:pPr>
              <w:pStyle w:val="CellHeader"/>
              <w:jc w:val="center"/>
            </w:pPr>
            <w:r>
              <w:rPr>
                <w:rFonts w:cs="Times New Roman"/>
              </w:rPr>
              <w:t>Ciljana vrijednost (2025.)</w:t>
            </w:r>
          </w:p>
        </w:tc>
        <w:tc>
          <w:tcPr>
            <w:tcW w:w="1020" w:type="dxa"/>
            <w:shd w:val="clear" w:color="auto" w:fill="B5C0D8"/>
          </w:tcPr>
          <w:p w14:paraId="0D26D85C" w14:textId="77777777" w:rsidR="002452BB" w:rsidRDefault="00000000">
            <w:pPr>
              <w:pStyle w:val="CellHeader"/>
              <w:jc w:val="center"/>
            </w:pPr>
            <w:r>
              <w:rPr>
                <w:rFonts w:cs="Times New Roman"/>
              </w:rPr>
              <w:t>Ostvarena vrijednost (2025.)</w:t>
            </w:r>
          </w:p>
        </w:tc>
      </w:tr>
      <w:tr w:rsidR="002452BB" w14:paraId="0D24FD40" w14:textId="77777777">
        <w:trPr>
          <w:jc w:val="center"/>
        </w:trPr>
        <w:tc>
          <w:tcPr>
            <w:tcW w:w="2551" w:type="dxa"/>
          </w:tcPr>
          <w:p w14:paraId="0A1439E7" w14:textId="77777777" w:rsidR="002452BB" w:rsidRDefault="00000000">
            <w:pPr>
              <w:pStyle w:val="CellColumn"/>
              <w:jc w:val="left"/>
            </w:pPr>
            <w:r>
              <w:rPr>
                <w:rFonts w:cs="Times New Roman"/>
              </w:rPr>
              <w:t>Povećanje stupnja izgrađenosti operativnih površina</w:t>
            </w:r>
          </w:p>
        </w:tc>
        <w:tc>
          <w:tcPr>
            <w:tcW w:w="2551" w:type="dxa"/>
          </w:tcPr>
          <w:p w14:paraId="44FE1A2D" w14:textId="77777777" w:rsidR="002452BB" w:rsidRDefault="00000000">
            <w:pPr>
              <w:pStyle w:val="CellColumn"/>
              <w:jc w:val="left"/>
            </w:pPr>
            <w:r>
              <w:rPr>
                <w:rFonts w:cs="Times New Roman"/>
              </w:rPr>
              <w:t>Učinkovitom pripremom i praćenjem provedbe projekata sufinanciranih iz EU fondova povećati će se operativne površine luke</w:t>
            </w:r>
          </w:p>
        </w:tc>
        <w:tc>
          <w:tcPr>
            <w:tcW w:w="1020" w:type="dxa"/>
          </w:tcPr>
          <w:p w14:paraId="633F0038" w14:textId="77777777" w:rsidR="002452BB" w:rsidRDefault="00000000">
            <w:pPr>
              <w:pStyle w:val="CellColumn"/>
              <w:jc w:val="right"/>
            </w:pPr>
            <w:r>
              <w:rPr>
                <w:rFonts w:cs="Times New Roman"/>
              </w:rPr>
              <w:t>%</w:t>
            </w:r>
          </w:p>
        </w:tc>
        <w:tc>
          <w:tcPr>
            <w:tcW w:w="1020" w:type="dxa"/>
          </w:tcPr>
          <w:p w14:paraId="02F85650" w14:textId="77777777" w:rsidR="002452BB" w:rsidRDefault="00000000">
            <w:pPr>
              <w:pStyle w:val="CellColumn"/>
              <w:jc w:val="right"/>
            </w:pPr>
            <w:r>
              <w:rPr>
                <w:rFonts w:cs="Times New Roman"/>
              </w:rPr>
              <w:t>20</w:t>
            </w:r>
          </w:p>
        </w:tc>
        <w:tc>
          <w:tcPr>
            <w:tcW w:w="918" w:type="dxa"/>
          </w:tcPr>
          <w:p w14:paraId="0C13F91B" w14:textId="77777777" w:rsidR="002452BB" w:rsidRDefault="00000000">
            <w:pPr>
              <w:pStyle w:val="CellColumn"/>
              <w:jc w:val="right"/>
            </w:pPr>
            <w:r>
              <w:rPr>
                <w:rFonts w:cs="Times New Roman"/>
              </w:rPr>
              <w:t>Lučka uprava Split</w:t>
            </w:r>
          </w:p>
        </w:tc>
        <w:tc>
          <w:tcPr>
            <w:tcW w:w="1020" w:type="dxa"/>
          </w:tcPr>
          <w:p w14:paraId="75484392" w14:textId="77777777" w:rsidR="002452BB" w:rsidRDefault="00000000">
            <w:pPr>
              <w:pStyle w:val="CellColumn"/>
              <w:jc w:val="right"/>
            </w:pPr>
            <w:r>
              <w:rPr>
                <w:rFonts w:cs="Times New Roman"/>
              </w:rPr>
              <w:t>30</w:t>
            </w:r>
          </w:p>
        </w:tc>
        <w:tc>
          <w:tcPr>
            <w:tcW w:w="1020" w:type="dxa"/>
          </w:tcPr>
          <w:p w14:paraId="705522CD" w14:textId="77777777" w:rsidR="002452BB" w:rsidRDefault="00000000">
            <w:pPr>
              <w:pStyle w:val="CellColumn"/>
              <w:jc w:val="right"/>
            </w:pPr>
            <w:r>
              <w:rPr>
                <w:rFonts w:cs="Times New Roman"/>
              </w:rPr>
              <w:t>25</w:t>
            </w:r>
          </w:p>
        </w:tc>
      </w:tr>
    </w:tbl>
    <w:p w14:paraId="5F142D94" w14:textId="77777777" w:rsidR="002452BB" w:rsidRDefault="002452BB">
      <w:pPr>
        <w:jc w:val="left"/>
      </w:pPr>
    </w:p>
    <w:p w14:paraId="242582D9" w14:textId="77777777" w:rsidR="002452BB" w:rsidRDefault="00000000">
      <w:pPr>
        <w:pStyle w:val="Heading4"/>
      </w:pPr>
      <w:r>
        <w:t>K754079 NOVI PUTNIČKI TERMINAL U GRADSKOJ LUCI SPLIT-NPOO-C1.4.R311.01.0001</w:t>
      </w:r>
    </w:p>
    <w:tbl>
      <w:tblPr>
        <w:tblStyle w:val="StilTablice"/>
        <w:tblW w:w="10206" w:type="dxa"/>
        <w:jc w:val="center"/>
        <w:tblLook w:val="04A0" w:firstRow="1" w:lastRow="0" w:firstColumn="1" w:lastColumn="0" w:noHBand="0" w:noVBand="1"/>
      </w:tblPr>
      <w:tblGrid>
        <w:gridCol w:w="1682"/>
        <w:gridCol w:w="2027"/>
        <w:gridCol w:w="2027"/>
        <w:gridCol w:w="2027"/>
        <w:gridCol w:w="1221"/>
        <w:gridCol w:w="1222"/>
      </w:tblGrid>
      <w:tr w:rsidR="002452BB" w14:paraId="794CA0FA" w14:textId="77777777">
        <w:trPr>
          <w:jc w:val="center"/>
        </w:trPr>
        <w:tc>
          <w:tcPr>
            <w:tcW w:w="1632" w:type="dxa"/>
            <w:shd w:val="clear" w:color="auto" w:fill="B5C0D8"/>
          </w:tcPr>
          <w:p w14:paraId="4E1990E1" w14:textId="77777777" w:rsidR="002452BB" w:rsidRDefault="00000000">
            <w:pPr>
              <w:pStyle w:val="CellHeader"/>
              <w:jc w:val="center"/>
            </w:pPr>
            <w:r>
              <w:rPr>
                <w:rFonts w:cs="Times New Roman"/>
              </w:rPr>
              <w:t>Naziv aktivnosti</w:t>
            </w:r>
          </w:p>
        </w:tc>
        <w:tc>
          <w:tcPr>
            <w:tcW w:w="2041" w:type="dxa"/>
            <w:shd w:val="clear" w:color="auto" w:fill="B5C0D8"/>
          </w:tcPr>
          <w:p w14:paraId="45D7DD9B" w14:textId="77777777" w:rsidR="002452BB" w:rsidRDefault="00000000">
            <w:pPr>
              <w:pStyle w:val="CellHeader"/>
              <w:jc w:val="center"/>
            </w:pPr>
            <w:r>
              <w:rPr>
                <w:rFonts w:cs="Times New Roman"/>
              </w:rPr>
              <w:t>Izvršenje 2024. (eur)</w:t>
            </w:r>
          </w:p>
        </w:tc>
        <w:tc>
          <w:tcPr>
            <w:tcW w:w="2041" w:type="dxa"/>
            <w:shd w:val="clear" w:color="auto" w:fill="B5C0D8"/>
          </w:tcPr>
          <w:p w14:paraId="055D634C" w14:textId="77777777" w:rsidR="002452BB" w:rsidRDefault="00000000">
            <w:pPr>
              <w:pStyle w:val="CellHeader"/>
              <w:jc w:val="center"/>
            </w:pPr>
            <w:r>
              <w:rPr>
                <w:rFonts w:cs="Times New Roman"/>
              </w:rPr>
              <w:t>Plan 2025. (eur)</w:t>
            </w:r>
          </w:p>
        </w:tc>
        <w:tc>
          <w:tcPr>
            <w:tcW w:w="2041" w:type="dxa"/>
            <w:shd w:val="clear" w:color="auto" w:fill="B5C0D8"/>
          </w:tcPr>
          <w:p w14:paraId="6AB701DF" w14:textId="77777777" w:rsidR="002452BB" w:rsidRDefault="00000000">
            <w:pPr>
              <w:pStyle w:val="CellHeader"/>
              <w:jc w:val="center"/>
            </w:pPr>
            <w:r>
              <w:rPr>
                <w:rFonts w:cs="Times New Roman"/>
              </w:rPr>
              <w:t>Izvršenje 2025. (eur)</w:t>
            </w:r>
          </w:p>
        </w:tc>
        <w:tc>
          <w:tcPr>
            <w:tcW w:w="1224" w:type="dxa"/>
            <w:shd w:val="clear" w:color="auto" w:fill="B5C0D8"/>
          </w:tcPr>
          <w:p w14:paraId="09CFA8BF" w14:textId="77777777" w:rsidR="002452BB" w:rsidRDefault="00000000">
            <w:pPr>
              <w:pStyle w:val="CellHeader"/>
              <w:jc w:val="center"/>
            </w:pPr>
            <w:r>
              <w:rPr>
                <w:rFonts w:cs="Times New Roman"/>
              </w:rPr>
              <w:t>Indeks izvršenje 2025./plan 2025.</w:t>
            </w:r>
          </w:p>
        </w:tc>
        <w:tc>
          <w:tcPr>
            <w:tcW w:w="1224" w:type="dxa"/>
            <w:shd w:val="clear" w:color="auto" w:fill="B5C0D8"/>
          </w:tcPr>
          <w:p w14:paraId="7E896DF7" w14:textId="77777777" w:rsidR="002452BB" w:rsidRDefault="00000000">
            <w:pPr>
              <w:pStyle w:val="CellHeader"/>
              <w:jc w:val="center"/>
            </w:pPr>
            <w:r>
              <w:rPr>
                <w:rFonts w:cs="Times New Roman"/>
              </w:rPr>
              <w:t>Indeks izvršenje 2025./2024.</w:t>
            </w:r>
          </w:p>
        </w:tc>
      </w:tr>
      <w:tr w:rsidR="002452BB" w14:paraId="48F04AEB" w14:textId="77777777">
        <w:trPr>
          <w:jc w:val="center"/>
        </w:trPr>
        <w:tc>
          <w:tcPr>
            <w:tcW w:w="1632" w:type="dxa"/>
          </w:tcPr>
          <w:p w14:paraId="0BC88797" w14:textId="77777777" w:rsidR="002452BB" w:rsidRDefault="00000000">
            <w:pPr>
              <w:pStyle w:val="CellColumn"/>
              <w:jc w:val="left"/>
            </w:pPr>
            <w:r>
              <w:rPr>
                <w:rFonts w:cs="Times New Roman"/>
              </w:rPr>
              <w:t>K754079-NOVI PUTNIČKI TERMINAL U GRADSKOJ LUCI SPLIT-NPOO-C1.4.R311.01.0001</w:t>
            </w:r>
          </w:p>
        </w:tc>
        <w:tc>
          <w:tcPr>
            <w:tcW w:w="2041" w:type="dxa"/>
          </w:tcPr>
          <w:p w14:paraId="27066D92" w14:textId="77777777" w:rsidR="002452BB" w:rsidRDefault="00000000">
            <w:pPr>
              <w:pStyle w:val="CellColumn"/>
              <w:jc w:val="right"/>
            </w:pPr>
            <w:r>
              <w:rPr>
                <w:rFonts w:cs="Times New Roman"/>
              </w:rPr>
              <w:t>2.542.002</w:t>
            </w:r>
          </w:p>
        </w:tc>
        <w:tc>
          <w:tcPr>
            <w:tcW w:w="2041" w:type="dxa"/>
          </w:tcPr>
          <w:p w14:paraId="3CA638FB" w14:textId="77777777" w:rsidR="002452BB" w:rsidRDefault="00000000">
            <w:pPr>
              <w:pStyle w:val="CellColumn"/>
              <w:jc w:val="right"/>
            </w:pPr>
            <w:r>
              <w:rPr>
                <w:rFonts w:cs="Times New Roman"/>
              </w:rPr>
              <w:t>7.601.425</w:t>
            </w:r>
          </w:p>
        </w:tc>
        <w:tc>
          <w:tcPr>
            <w:tcW w:w="2041" w:type="dxa"/>
          </w:tcPr>
          <w:p w14:paraId="4FE4BED6" w14:textId="77777777" w:rsidR="002452BB" w:rsidRDefault="00000000">
            <w:pPr>
              <w:pStyle w:val="CellColumn"/>
              <w:jc w:val="right"/>
            </w:pPr>
            <w:r>
              <w:rPr>
                <w:rFonts w:cs="Times New Roman"/>
              </w:rPr>
              <w:t>6.533.896</w:t>
            </w:r>
          </w:p>
        </w:tc>
        <w:tc>
          <w:tcPr>
            <w:tcW w:w="1224" w:type="dxa"/>
          </w:tcPr>
          <w:p w14:paraId="157A06CA" w14:textId="77777777" w:rsidR="002452BB" w:rsidRDefault="00000000">
            <w:pPr>
              <w:pStyle w:val="CellColumn"/>
              <w:jc w:val="right"/>
            </w:pPr>
            <w:r>
              <w:rPr>
                <w:rFonts w:cs="Times New Roman"/>
              </w:rPr>
              <w:t>86,0</w:t>
            </w:r>
          </w:p>
        </w:tc>
        <w:tc>
          <w:tcPr>
            <w:tcW w:w="1224" w:type="dxa"/>
          </w:tcPr>
          <w:p w14:paraId="05632E35" w14:textId="77777777" w:rsidR="002452BB" w:rsidRDefault="00000000">
            <w:pPr>
              <w:pStyle w:val="CellColumn"/>
              <w:jc w:val="right"/>
            </w:pPr>
            <w:r>
              <w:rPr>
                <w:rFonts w:cs="Times New Roman"/>
              </w:rPr>
              <w:t>257,0</w:t>
            </w:r>
          </w:p>
        </w:tc>
      </w:tr>
    </w:tbl>
    <w:p w14:paraId="457704E5" w14:textId="77777777" w:rsidR="002452BB" w:rsidRDefault="002452BB">
      <w:pPr>
        <w:jc w:val="left"/>
      </w:pPr>
    </w:p>
    <w:p w14:paraId="020391C6" w14:textId="77777777" w:rsidR="002452BB" w:rsidRDefault="00000000">
      <w:pPr>
        <w:pStyle w:val="Heading8"/>
        <w:jc w:val="left"/>
      </w:pPr>
      <w:r>
        <w:t>Zakonske i druge pravne osnove</w:t>
      </w:r>
    </w:p>
    <w:p w14:paraId="5DFBFE78" w14:textId="77777777" w:rsidR="002452BB" w:rsidRDefault="00000000">
      <w:r>
        <w:t xml:space="preserve">- Zakon o pomorskom dobru i morskim lukama NN 83/2023 </w:t>
      </w:r>
    </w:p>
    <w:p w14:paraId="275E1B83" w14:textId="77777777" w:rsidR="002452BB" w:rsidRDefault="00000000">
      <w:r>
        <w:t xml:space="preserve">- Zakon o nadzoru državne granice  </w:t>
      </w:r>
    </w:p>
    <w:p w14:paraId="605239DE" w14:textId="77777777" w:rsidR="002452BB" w:rsidRDefault="00000000">
      <w:r>
        <w:t>- Nacionalni plan oporavka i otpornosti 2021.-2026., Komponenta 1. Gospodarstvo, Podkomponenta 1.4. Razvoj konkurentnog, energetski održivog i učinkovitog prometnog sustava,  Reforma pomorstva i unutarnje plovidbe, Investicija Program modernizacije luka otvorenih za javni promet C1.4. R3-I1.</w:t>
      </w:r>
    </w:p>
    <w:p w14:paraId="4D82EC37" w14:textId="77777777" w:rsidR="002452BB" w:rsidRDefault="00000000">
      <w:pPr>
        <w:pStyle w:val="Heading8"/>
        <w:jc w:val="left"/>
      </w:pPr>
      <w:r>
        <w:lastRenderedPageBreak/>
        <w:t>Opis aktivnosti</w:t>
      </w:r>
    </w:p>
    <w:p w14:paraId="32ACC968" w14:textId="42DDEC81" w:rsidR="002452BB" w:rsidRDefault="00000000">
      <w:r>
        <w:t>Projekt izgradnje Novog putničkog terminala u Gradskoj luci u Splitu financira se  putem Nacionalnog programa za oporavak i otpornost i sredstava Državnog proračuna.  Novi terminal se gradi južno od postojećeg terminala i bit će neposredno namijenjen prijevozu lokalnih putnika i turista s lokacije dvaju vezova koji su izgrađeni  na vanjskoj strani lukobrana Bazena Gradske luke te vezova u unutar samoga Bazena. Terminal  se gradi sukladno propisima potrebnim za implementaciju buduće Schengenske granične kontrole, kao i  granične kontrole MUP-a i  Carine, a osim prostora za Schengen sadržavati će i  upravnu zgradu sa lučkim operativnom centrom, prostorije za pilotsku službu, priveza i odveza brodova,VTS. Osim suvremenog prostora, novi ulazni kompleks podrazumijeva adekvatnu opremu i informatičke kapacitete koji će omogućiti ubrzavanje i optimiziranje poslovnih procesa svih sudionika lučke zajednice. Ukupna planirana vrijednost ulaganja procjenjena  je na iznos od 16,9 milijuna eura, od čega se iznos od 6,9 milijuna eura financura iz sredstava NPOO , a iznos od cca 10 milijuna eura iz  sredstava državnog proračuna. Izvođač radova je Lavčević inženjering d.o.o., a nadzor je tvrtka Apsolon d.o.o. Prilikom izvršenja početnih radova,  izvođač je naišao na  nedostatke na gradilištu te se pristupilo sanaciji vodovodne mreže, čime se usporila planirana dinamika radova.Tijekom gradnje je došlo do izvođenja naknadnih radova, koji su zahtjevali potrebne suglasnost</w:t>
      </w:r>
      <w:r w:rsidR="0005614A">
        <w:t>.</w:t>
      </w:r>
      <w:r>
        <w:t xml:space="preserve"> Završetak radova je planiran u 2025. godini, međutim zbog  nepredviđenih okolnosti, koje su usporile gradnju, završetak radova je produljen </w:t>
      </w:r>
      <w:r w:rsidR="0005614A">
        <w:t>do</w:t>
      </w:r>
      <w:r>
        <w:t xml:space="preserve"> 31.05.2026. godine, a sukladno istom je zaključen i dodatak Ugovoru sa izvođačem radova.  </w:t>
      </w:r>
    </w:p>
    <w:p w14:paraId="29B762F0" w14:textId="77777777" w:rsidR="002452BB" w:rsidRDefault="00000000">
      <w:r>
        <w:t>Nakon dobivanja uporabne dozvole za objekt izvršiti će se nabava i instaliranje opreme .</w:t>
      </w:r>
    </w:p>
    <w:p w14:paraId="7B5B67F3"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04645F6E" w14:textId="77777777">
        <w:trPr>
          <w:jc w:val="center"/>
        </w:trPr>
        <w:tc>
          <w:tcPr>
            <w:tcW w:w="2551" w:type="dxa"/>
            <w:shd w:val="clear" w:color="auto" w:fill="B5C0D8"/>
          </w:tcPr>
          <w:p w14:paraId="7CAFE284" w14:textId="77777777" w:rsidR="002452BB" w:rsidRDefault="00000000">
            <w:pPr>
              <w:jc w:val="center"/>
            </w:pPr>
            <w:r>
              <w:t>Pokazatelj rezultata</w:t>
            </w:r>
          </w:p>
        </w:tc>
        <w:tc>
          <w:tcPr>
            <w:tcW w:w="2551" w:type="dxa"/>
            <w:shd w:val="clear" w:color="auto" w:fill="B5C0D8"/>
          </w:tcPr>
          <w:p w14:paraId="0291CAEF" w14:textId="77777777" w:rsidR="002452BB" w:rsidRDefault="00000000">
            <w:pPr>
              <w:pStyle w:val="CellHeader"/>
              <w:jc w:val="center"/>
            </w:pPr>
            <w:r>
              <w:rPr>
                <w:rFonts w:cs="Times New Roman"/>
              </w:rPr>
              <w:t>Definicija</w:t>
            </w:r>
          </w:p>
        </w:tc>
        <w:tc>
          <w:tcPr>
            <w:tcW w:w="1020" w:type="dxa"/>
            <w:shd w:val="clear" w:color="auto" w:fill="B5C0D8"/>
          </w:tcPr>
          <w:p w14:paraId="2E22D25F" w14:textId="77777777" w:rsidR="002452BB" w:rsidRDefault="00000000">
            <w:pPr>
              <w:pStyle w:val="CellHeader"/>
              <w:jc w:val="center"/>
            </w:pPr>
            <w:r>
              <w:rPr>
                <w:rFonts w:cs="Times New Roman"/>
              </w:rPr>
              <w:t>Jedinica</w:t>
            </w:r>
          </w:p>
        </w:tc>
        <w:tc>
          <w:tcPr>
            <w:tcW w:w="1020" w:type="dxa"/>
            <w:shd w:val="clear" w:color="auto" w:fill="B5C0D8"/>
          </w:tcPr>
          <w:p w14:paraId="08ED4C0D" w14:textId="77777777" w:rsidR="002452BB" w:rsidRDefault="00000000">
            <w:pPr>
              <w:pStyle w:val="CellHeader"/>
              <w:jc w:val="center"/>
            </w:pPr>
            <w:r>
              <w:rPr>
                <w:rFonts w:cs="Times New Roman"/>
              </w:rPr>
              <w:t>Polazna vrijednost</w:t>
            </w:r>
          </w:p>
        </w:tc>
        <w:tc>
          <w:tcPr>
            <w:tcW w:w="1020" w:type="dxa"/>
            <w:shd w:val="clear" w:color="auto" w:fill="B5C0D8"/>
          </w:tcPr>
          <w:p w14:paraId="128B486C" w14:textId="77777777" w:rsidR="002452BB" w:rsidRDefault="00000000">
            <w:pPr>
              <w:pStyle w:val="CellHeader"/>
              <w:jc w:val="center"/>
            </w:pPr>
            <w:r>
              <w:rPr>
                <w:rFonts w:cs="Times New Roman"/>
              </w:rPr>
              <w:t>Izvor podataka</w:t>
            </w:r>
          </w:p>
        </w:tc>
        <w:tc>
          <w:tcPr>
            <w:tcW w:w="1020" w:type="dxa"/>
            <w:shd w:val="clear" w:color="auto" w:fill="B5C0D8"/>
          </w:tcPr>
          <w:p w14:paraId="04660578" w14:textId="77777777" w:rsidR="002452BB" w:rsidRDefault="00000000">
            <w:pPr>
              <w:pStyle w:val="CellHeader"/>
              <w:jc w:val="center"/>
            </w:pPr>
            <w:r>
              <w:rPr>
                <w:rFonts w:cs="Times New Roman"/>
              </w:rPr>
              <w:t>Ciljana vrijednost (2025.)</w:t>
            </w:r>
          </w:p>
        </w:tc>
        <w:tc>
          <w:tcPr>
            <w:tcW w:w="1020" w:type="dxa"/>
            <w:shd w:val="clear" w:color="auto" w:fill="B5C0D8"/>
          </w:tcPr>
          <w:p w14:paraId="58EC82D7" w14:textId="77777777" w:rsidR="002452BB" w:rsidRDefault="00000000">
            <w:pPr>
              <w:pStyle w:val="CellHeader"/>
              <w:jc w:val="center"/>
            </w:pPr>
            <w:r>
              <w:rPr>
                <w:rFonts w:cs="Times New Roman"/>
              </w:rPr>
              <w:t>Ostvarena vrijednost (2025.)</w:t>
            </w:r>
          </w:p>
        </w:tc>
      </w:tr>
      <w:tr w:rsidR="002452BB" w14:paraId="213AEED7" w14:textId="77777777">
        <w:trPr>
          <w:jc w:val="center"/>
        </w:trPr>
        <w:tc>
          <w:tcPr>
            <w:tcW w:w="2551" w:type="dxa"/>
          </w:tcPr>
          <w:p w14:paraId="19ADB2F7" w14:textId="77777777" w:rsidR="002452BB" w:rsidRDefault="00000000">
            <w:pPr>
              <w:pStyle w:val="CellColumn"/>
              <w:jc w:val="left"/>
            </w:pPr>
            <w:r>
              <w:rPr>
                <w:rFonts w:cs="Times New Roman"/>
              </w:rPr>
              <w:t>Stupanj izgrađenosti terminala</w:t>
            </w:r>
          </w:p>
        </w:tc>
        <w:tc>
          <w:tcPr>
            <w:tcW w:w="2551" w:type="dxa"/>
          </w:tcPr>
          <w:p w14:paraId="37B76374" w14:textId="77777777" w:rsidR="002452BB" w:rsidRDefault="00000000">
            <w:pPr>
              <w:pStyle w:val="CellColumn"/>
              <w:jc w:val="left"/>
            </w:pPr>
            <w:r>
              <w:rPr>
                <w:rFonts w:cs="Times New Roman"/>
              </w:rPr>
              <w:t>Završetkom izgradnje terminala, povećat će se kapaciteti  javnih i poslovnih prostora za potrebe putnika i novog graničnog prijelaza</w:t>
            </w:r>
          </w:p>
        </w:tc>
        <w:tc>
          <w:tcPr>
            <w:tcW w:w="1020" w:type="dxa"/>
          </w:tcPr>
          <w:p w14:paraId="116F3C0D" w14:textId="77777777" w:rsidR="002452BB" w:rsidRDefault="00000000">
            <w:pPr>
              <w:pStyle w:val="CellColumn"/>
              <w:jc w:val="right"/>
            </w:pPr>
            <w:r>
              <w:rPr>
                <w:rFonts w:cs="Times New Roman"/>
              </w:rPr>
              <w:t>%</w:t>
            </w:r>
          </w:p>
        </w:tc>
        <w:tc>
          <w:tcPr>
            <w:tcW w:w="1020" w:type="dxa"/>
          </w:tcPr>
          <w:p w14:paraId="735F6934" w14:textId="77777777" w:rsidR="002452BB" w:rsidRDefault="00000000">
            <w:pPr>
              <w:pStyle w:val="CellColumn"/>
              <w:jc w:val="right"/>
            </w:pPr>
            <w:r>
              <w:rPr>
                <w:rFonts w:cs="Times New Roman"/>
              </w:rPr>
              <w:t>30</w:t>
            </w:r>
          </w:p>
        </w:tc>
        <w:tc>
          <w:tcPr>
            <w:tcW w:w="1020" w:type="dxa"/>
          </w:tcPr>
          <w:p w14:paraId="2E53EFB8" w14:textId="77777777" w:rsidR="002452BB" w:rsidRDefault="00000000">
            <w:pPr>
              <w:pStyle w:val="CellColumn"/>
              <w:jc w:val="right"/>
            </w:pPr>
            <w:r>
              <w:rPr>
                <w:rFonts w:cs="Times New Roman"/>
              </w:rPr>
              <w:t>Lučka uprava Split</w:t>
            </w:r>
          </w:p>
        </w:tc>
        <w:tc>
          <w:tcPr>
            <w:tcW w:w="1020" w:type="dxa"/>
          </w:tcPr>
          <w:p w14:paraId="65203B2F" w14:textId="77777777" w:rsidR="002452BB" w:rsidRDefault="00000000">
            <w:pPr>
              <w:pStyle w:val="CellColumn"/>
              <w:jc w:val="right"/>
            </w:pPr>
            <w:r>
              <w:rPr>
                <w:rFonts w:cs="Times New Roman"/>
              </w:rPr>
              <w:t>80</w:t>
            </w:r>
          </w:p>
        </w:tc>
        <w:tc>
          <w:tcPr>
            <w:tcW w:w="1020" w:type="dxa"/>
          </w:tcPr>
          <w:p w14:paraId="208B7602" w14:textId="77777777" w:rsidR="002452BB" w:rsidRDefault="00000000">
            <w:pPr>
              <w:pStyle w:val="CellColumn"/>
              <w:jc w:val="right"/>
            </w:pPr>
            <w:r>
              <w:rPr>
                <w:rFonts w:cs="Times New Roman"/>
              </w:rPr>
              <w:t>70</w:t>
            </w:r>
          </w:p>
        </w:tc>
      </w:tr>
    </w:tbl>
    <w:p w14:paraId="6CE965DA" w14:textId="77777777" w:rsidR="002452BB" w:rsidRDefault="002452BB">
      <w:pPr>
        <w:jc w:val="left"/>
      </w:pPr>
    </w:p>
    <w:p w14:paraId="50F53B6E" w14:textId="77777777" w:rsidR="002452BB" w:rsidRDefault="00000000">
      <w:pPr>
        <w:pStyle w:val="Heading4"/>
      </w:pPr>
      <w:r>
        <w:t>K754080 KONKURENTNOST I KOHEZIJA 2021. - 2027.</w:t>
      </w:r>
    </w:p>
    <w:tbl>
      <w:tblPr>
        <w:tblStyle w:val="StilTablice"/>
        <w:tblW w:w="10206" w:type="dxa"/>
        <w:jc w:val="center"/>
        <w:tblLook w:val="04A0" w:firstRow="1" w:lastRow="0" w:firstColumn="1" w:lastColumn="0" w:noHBand="0" w:noVBand="1"/>
      </w:tblPr>
      <w:tblGrid>
        <w:gridCol w:w="1882"/>
        <w:gridCol w:w="1966"/>
        <w:gridCol w:w="1970"/>
        <w:gridCol w:w="1966"/>
        <w:gridCol w:w="1208"/>
        <w:gridCol w:w="1214"/>
      </w:tblGrid>
      <w:tr w:rsidR="002452BB" w14:paraId="4745C4B4" w14:textId="77777777">
        <w:trPr>
          <w:jc w:val="center"/>
        </w:trPr>
        <w:tc>
          <w:tcPr>
            <w:tcW w:w="1632" w:type="dxa"/>
            <w:shd w:val="clear" w:color="auto" w:fill="B5C0D8"/>
          </w:tcPr>
          <w:p w14:paraId="6AF5BFB4" w14:textId="77777777" w:rsidR="002452BB" w:rsidRDefault="00000000">
            <w:pPr>
              <w:pStyle w:val="CellHeader"/>
              <w:jc w:val="center"/>
            </w:pPr>
            <w:r>
              <w:rPr>
                <w:rFonts w:cs="Times New Roman"/>
              </w:rPr>
              <w:t>Naziv aktivnosti</w:t>
            </w:r>
          </w:p>
        </w:tc>
        <w:tc>
          <w:tcPr>
            <w:tcW w:w="2041" w:type="dxa"/>
            <w:shd w:val="clear" w:color="auto" w:fill="B5C0D8"/>
          </w:tcPr>
          <w:p w14:paraId="70C846F0" w14:textId="77777777" w:rsidR="002452BB" w:rsidRDefault="00000000">
            <w:pPr>
              <w:pStyle w:val="CellHeader"/>
              <w:jc w:val="center"/>
            </w:pPr>
            <w:r>
              <w:rPr>
                <w:rFonts w:cs="Times New Roman"/>
              </w:rPr>
              <w:t>Izvršenje 2024. (eur)</w:t>
            </w:r>
          </w:p>
        </w:tc>
        <w:tc>
          <w:tcPr>
            <w:tcW w:w="2041" w:type="dxa"/>
            <w:shd w:val="clear" w:color="auto" w:fill="B5C0D8"/>
          </w:tcPr>
          <w:p w14:paraId="4E564A6A" w14:textId="77777777" w:rsidR="002452BB" w:rsidRDefault="00000000">
            <w:pPr>
              <w:pStyle w:val="CellHeader"/>
              <w:jc w:val="center"/>
            </w:pPr>
            <w:r>
              <w:rPr>
                <w:rFonts w:cs="Times New Roman"/>
              </w:rPr>
              <w:t>Plan 2025. (eur)</w:t>
            </w:r>
          </w:p>
        </w:tc>
        <w:tc>
          <w:tcPr>
            <w:tcW w:w="2041" w:type="dxa"/>
            <w:shd w:val="clear" w:color="auto" w:fill="B5C0D8"/>
          </w:tcPr>
          <w:p w14:paraId="5F71ADA1" w14:textId="77777777" w:rsidR="002452BB" w:rsidRDefault="00000000">
            <w:pPr>
              <w:pStyle w:val="CellHeader"/>
              <w:jc w:val="center"/>
            </w:pPr>
            <w:r>
              <w:rPr>
                <w:rFonts w:cs="Times New Roman"/>
              </w:rPr>
              <w:t>Izvršenje 2025. (eur)</w:t>
            </w:r>
          </w:p>
        </w:tc>
        <w:tc>
          <w:tcPr>
            <w:tcW w:w="1224" w:type="dxa"/>
            <w:shd w:val="clear" w:color="auto" w:fill="B5C0D8"/>
          </w:tcPr>
          <w:p w14:paraId="271EF3A0" w14:textId="77777777" w:rsidR="002452BB" w:rsidRDefault="00000000">
            <w:pPr>
              <w:pStyle w:val="CellHeader"/>
              <w:jc w:val="center"/>
            </w:pPr>
            <w:r>
              <w:rPr>
                <w:rFonts w:cs="Times New Roman"/>
              </w:rPr>
              <w:t>Indeks izvršenje 2025./plan 2025.</w:t>
            </w:r>
          </w:p>
        </w:tc>
        <w:tc>
          <w:tcPr>
            <w:tcW w:w="1224" w:type="dxa"/>
            <w:shd w:val="clear" w:color="auto" w:fill="B5C0D8"/>
          </w:tcPr>
          <w:p w14:paraId="6974F772" w14:textId="77777777" w:rsidR="002452BB" w:rsidRDefault="00000000">
            <w:pPr>
              <w:pStyle w:val="CellHeader"/>
              <w:jc w:val="center"/>
            </w:pPr>
            <w:r>
              <w:rPr>
                <w:rFonts w:cs="Times New Roman"/>
              </w:rPr>
              <w:t>Indeks izvršenje 2025./2024.</w:t>
            </w:r>
          </w:p>
        </w:tc>
      </w:tr>
      <w:tr w:rsidR="002452BB" w14:paraId="3C518577" w14:textId="77777777">
        <w:trPr>
          <w:jc w:val="center"/>
        </w:trPr>
        <w:tc>
          <w:tcPr>
            <w:tcW w:w="1632" w:type="dxa"/>
          </w:tcPr>
          <w:p w14:paraId="5A9803A2" w14:textId="77777777" w:rsidR="002452BB" w:rsidRDefault="00000000">
            <w:pPr>
              <w:pStyle w:val="CellColumn"/>
              <w:jc w:val="left"/>
            </w:pPr>
            <w:r>
              <w:rPr>
                <w:rFonts w:cs="Times New Roman"/>
              </w:rPr>
              <w:t>K754080-KONKURENTNOST I KOHEZIJA 2021. - 2027.</w:t>
            </w:r>
          </w:p>
        </w:tc>
        <w:tc>
          <w:tcPr>
            <w:tcW w:w="2041" w:type="dxa"/>
          </w:tcPr>
          <w:p w14:paraId="14D03A51" w14:textId="77777777" w:rsidR="002452BB" w:rsidRDefault="00000000">
            <w:pPr>
              <w:pStyle w:val="CellColumn"/>
              <w:jc w:val="right"/>
            </w:pPr>
            <w:r>
              <w:rPr>
                <w:rFonts w:cs="Times New Roman"/>
              </w:rPr>
              <w:t>00</w:t>
            </w:r>
          </w:p>
        </w:tc>
        <w:tc>
          <w:tcPr>
            <w:tcW w:w="2041" w:type="dxa"/>
          </w:tcPr>
          <w:p w14:paraId="1359EE73" w14:textId="77777777" w:rsidR="002452BB" w:rsidRDefault="00000000">
            <w:pPr>
              <w:pStyle w:val="CellColumn"/>
              <w:jc w:val="right"/>
            </w:pPr>
            <w:r>
              <w:rPr>
                <w:rFonts w:cs="Times New Roman"/>
              </w:rPr>
              <w:t>2.840.390</w:t>
            </w:r>
          </w:p>
        </w:tc>
        <w:tc>
          <w:tcPr>
            <w:tcW w:w="2041" w:type="dxa"/>
          </w:tcPr>
          <w:p w14:paraId="7C1D6E04" w14:textId="77777777" w:rsidR="002452BB" w:rsidRDefault="00000000">
            <w:pPr>
              <w:pStyle w:val="CellColumn"/>
              <w:jc w:val="right"/>
            </w:pPr>
            <w:r>
              <w:rPr>
                <w:rFonts w:cs="Times New Roman"/>
              </w:rPr>
              <w:t>987.103</w:t>
            </w:r>
          </w:p>
        </w:tc>
        <w:tc>
          <w:tcPr>
            <w:tcW w:w="1224" w:type="dxa"/>
          </w:tcPr>
          <w:p w14:paraId="10129128" w14:textId="77777777" w:rsidR="002452BB" w:rsidRDefault="00000000">
            <w:pPr>
              <w:pStyle w:val="CellColumn"/>
              <w:jc w:val="right"/>
            </w:pPr>
            <w:r>
              <w:rPr>
                <w:rFonts w:cs="Times New Roman"/>
              </w:rPr>
              <w:t>34,8</w:t>
            </w:r>
          </w:p>
        </w:tc>
        <w:tc>
          <w:tcPr>
            <w:tcW w:w="1224" w:type="dxa"/>
          </w:tcPr>
          <w:p w14:paraId="33576F31" w14:textId="77777777" w:rsidR="002452BB" w:rsidRDefault="00000000">
            <w:pPr>
              <w:pStyle w:val="CellColumn"/>
              <w:jc w:val="right"/>
            </w:pPr>
            <w:r>
              <w:rPr>
                <w:rFonts w:cs="Times New Roman"/>
              </w:rPr>
              <w:t>0,0</w:t>
            </w:r>
          </w:p>
        </w:tc>
      </w:tr>
    </w:tbl>
    <w:p w14:paraId="1E79F7D4" w14:textId="77777777" w:rsidR="002452BB" w:rsidRDefault="002452BB">
      <w:pPr>
        <w:jc w:val="left"/>
      </w:pPr>
    </w:p>
    <w:p w14:paraId="48255270" w14:textId="77777777" w:rsidR="002452BB" w:rsidRDefault="00000000">
      <w:pPr>
        <w:pStyle w:val="Heading8"/>
        <w:jc w:val="left"/>
      </w:pPr>
      <w:r>
        <w:t>Zakonske i druge pravne osnove</w:t>
      </w:r>
    </w:p>
    <w:p w14:paraId="5AD86508" w14:textId="77777777" w:rsidR="002452BB" w:rsidRDefault="00000000">
      <w:r>
        <w:t xml:space="preserve">- Zakon o pomorskom dobru i morskim lukama 83/2023 </w:t>
      </w:r>
    </w:p>
    <w:p w14:paraId="3AA8D5A6" w14:textId="77777777" w:rsidR="002452BB" w:rsidRDefault="00000000">
      <w:r>
        <w:t xml:space="preserve">- Nova financijska omotnica za razdoblje 2021 -2027 godine   </w:t>
      </w:r>
    </w:p>
    <w:p w14:paraId="7A1910CD" w14:textId="77777777" w:rsidR="002452BB" w:rsidRDefault="00000000">
      <w:r>
        <w:t xml:space="preserve"> -program „Konkurentnost i kohezija 2021. – 2027.</w:t>
      </w:r>
    </w:p>
    <w:p w14:paraId="2EA67DF6" w14:textId="77777777" w:rsidR="002452BB" w:rsidRDefault="00000000">
      <w:pPr>
        <w:pStyle w:val="Heading8"/>
        <w:jc w:val="left"/>
      </w:pPr>
      <w:r>
        <w:t>Opis aktivnosti</w:t>
      </w:r>
    </w:p>
    <w:p w14:paraId="443B1903" w14:textId="77777777" w:rsidR="002452BB" w:rsidRDefault="00000000">
      <w:r>
        <w:t xml:space="preserve">Predmetna aktivnost se sastoji od dva potprojekta: </w:t>
      </w:r>
    </w:p>
    <w:p w14:paraId="2A3B6F58" w14:textId="77777777" w:rsidR="002452BB" w:rsidRDefault="00000000">
      <w:r>
        <w:t xml:space="preserve">1.Rekonstrukcija i proširenje Gata sv. Petra u Gradskoj luci Split </w:t>
      </w:r>
    </w:p>
    <w:p w14:paraId="452B41FC" w14:textId="77777777" w:rsidR="002452BB" w:rsidRDefault="00000000">
      <w:r>
        <w:t xml:space="preserve">Projektom je predviđeno proširenje Gata Sv. Petra sa sjeverne strane te produljenje za 53 metra. Ukupno je predviđeno povećanje operativne površine za 5350 metara četvornih, te povećanje broja ro-ro rampi za trajekte na Gatu sv. Petra. što će doprinijeti poboljšanju protočnosti putnika i vozila. Izgraditi će se  dva veza u dužini od 100 metara, i po jedan vez u dužini od 108 metara, 147 metara i 188 metara) s pet rampi ( jedna u širini od 30 metara i </w:t>
      </w:r>
      <w:r>
        <w:lastRenderedPageBreak/>
        <w:t xml:space="preserve">četiri rampe u širini od 20 metara). Na sjevernoj i južnoj strani postojećeg obalnog zida gata Sv. Petra  postaviti će se  modularni objekti sanitarnog čvora, biljetarnice, garderobe i ugostiteljskog objekta – šanka i izvedbu pokretne tende, s pratećim instalacijama i opremom. Radovi su započeli u listopadu 2025. godine, kada je otvoreno gradilište i planirane su 3 privremene situacije od strane izvođača Texo molior d.o.o. prema dostavljenom dinamičkom planu. Do 31.12.2025. godine su izvršeni radovi u iznosu od 1.176.888,49€. Međutim, fakturirane su dvije privremene situacije koje su plaćene u 2025. godini u iznosu od 788.176,63 €. Razlog niže realizacije aktivnosti je zbog dinamičkog plana izvođenja radova prilikom planiranja  projekta i korekcije tijekom izgradnje. </w:t>
      </w:r>
    </w:p>
    <w:p w14:paraId="278F312C" w14:textId="77777777" w:rsidR="002452BB" w:rsidRDefault="00000000">
      <w:r>
        <w:t xml:space="preserve"> </w:t>
      </w:r>
    </w:p>
    <w:p w14:paraId="3B5E298B" w14:textId="77777777" w:rsidR="002452BB" w:rsidRDefault="00000000">
      <w:r>
        <w:t xml:space="preserve">2.Izgradnja putničko pomorskog terminala Resnik u lučkom području Kaštelanskog bazena D </w:t>
      </w:r>
    </w:p>
    <w:p w14:paraId="2F852E98" w14:textId="7616FC85" w:rsidR="002452BB" w:rsidRDefault="00000000">
      <w:r>
        <w:t xml:space="preserve">   iznos investicije: 4,6 milijuna € </w:t>
      </w:r>
    </w:p>
    <w:p w14:paraId="23595423" w14:textId="49471CC2" w:rsidR="002452BB" w:rsidRDefault="00000000">
      <w:r>
        <w:t>Izgradnjom novog gata dobit će se sezonsko pristanište za ukupno 2 plovila duljine do 40 m (katamaran). Tlocrtna duljina gata iznosi ukupno 53,0 m, te širina iznosi 6,0 m. Predmet zahvata uključuje uz realizaciju gata s vanjske strane nasutog lukobrana (okomito na postojeću obalu kao ljetni vez) i lučki iskop u nezaštićenom akvatoriju do dubine -5,30 m. Ukupna duljina zahvata na kojoj se izvodi produbljenje morskog dna za potrebe manevarskog prostora plovila na vanjskom vezu je cca 170 m (mjereno okomito od obale). Prema projektu, postojeći obalni zid produljit će se za cca 52,27 m te će zadržati širinu postojeće obale (9 m). Njegovom izgradnjom dobit će se privez za jedan brod duljine do 40 m. Predviđeno je da to se to područje koristi za brzo-brodske linije (katamarani) za putnike koji dolaze u Zračnu luku Split ili odlaze iz Zračne luke Split, kako bi se rasteretio cestovni promet premještanjem na more i time dao doprinos zaštiti okoliša poglavito smanjenju emisija stakleničkih plinova. Umjesto jednog, područje će imati četiri veza za katamarane. Projekt izgradnje je započeo u listopadu 2025. godine i trajat će dvije godine. Izvođač radova Pomgrad inženjering d.o.o. je do 31.12.2025. godine</w:t>
      </w:r>
      <w:r w:rsidR="0099159A">
        <w:t>,</w:t>
      </w:r>
      <w:r>
        <w:t xml:space="preserve"> izvršio radove u ukupnom iznosu od  538.864,45€, a plaćena je jedna privremena situacija u iznosu od 198.927€. Razlog nižeg indeksa izvršenja je zbog planirane dinamike  izgradnje prije početka projekta od strane izvođača radova i  promijenjene dinamike tijekom izgradnje.</w:t>
      </w:r>
    </w:p>
    <w:p w14:paraId="34FD912A"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2E3DDB5E" w14:textId="77777777">
        <w:trPr>
          <w:jc w:val="center"/>
        </w:trPr>
        <w:tc>
          <w:tcPr>
            <w:tcW w:w="2551" w:type="dxa"/>
            <w:shd w:val="clear" w:color="auto" w:fill="B5C0D8"/>
          </w:tcPr>
          <w:p w14:paraId="7EB6D8E9" w14:textId="77777777" w:rsidR="002452BB" w:rsidRDefault="00000000">
            <w:pPr>
              <w:jc w:val="center"/>
            </w:pPr>
            <w:r>
              <w:t>Pokazatelj rezultata</w:t>
            </w:r>
          </w:p>
        </w:tc>
        <w:tc>
          <w:tcPr>
            <w:tcW w:w="2551" w:type="dxa"/>
            <w:shd w:val="clear" w:color="auto" w:fill="B5C0D8"/>
          </w:tcPr>
          <w:p w14:paraId="47AC6EFC" w14:textId="77777777" w:rsidR="002452BB" w:rsidRDefault="00000000">
            <w:pPr>
              <w:pStyle w:val="CellHeader"/>
              <w:jc w:val="center"/>
            </w:pPr>
            <w:r>
              <w:rPr>
                <w:rFonts w:cs="Times New Roman"/>
              </w:rPr>
              <w:t>Definicija</w:t>
            </w:r>
          </w:p>
        </w:tc>
        <w:tc>
          <w:tcPr>
            <w:tcW w:w="1020" w:type="dxa"/>
            <w:shd w:val="clear" w:color="auto" w:fill="B5C0D8"/>
          </w:tcPr>
          <w:p w14:paraId="3D2A9BA1" w14:textId="77777777" w:rsidR="002452BB" w:rsidRDefault="00000000">
            <w:pPr>
              <w:pStyle w:val="CellHeader"/>
              <w:jc w:val="center"/>
            </w:pPr>
            <w:r>
              <w:rPr>
                <w:rFonts w:cs="Times New Roman"/>
              </w:rPr>
              <w:t>Jedinica</w:t>
            </w:r>
          </w:p>
        </w:tc>
        <w:tc>
          <w:tcPr>
            <w:tcW w:w="1020" w:type="dxa"/>
            <w:shd w:val="clear" w:color="auto" w:fill="B5C0D8"/>
          </w:tcPr>
          <w:p w14:paraId="26A1406A" w14:textId="77777777" w:rsidR="002452BB" w:rsidRDefault="00000000">
            <w:pPr>
              <w:pStyle w:val="CellHeader"/>
              <w:jc w:val="center"/>
            </w:pPr>
            <w:r>
              <w:rPr>
                <w:rFonts w:cs="Times New Roman"/>
              </w:rPr>
              <w:t>Polazna vrijednost</w:t>
            </w:r>
          </w:p>
        </w:tc>
        <w:tc>
          <w:tcPr>
            <w:tcW w:w="1020" w:type="dxa"/>
            <w:shd w:val="clear" w:color="auto" w:fill="B5C0D8"/>
          </w:tcPr>
          <w:p w14:paraId="1330DC95" w14:textId="77777777" w:rsidR="002452BB" w:rsidRDefault="00000000">
            <w:pPr>
              <w:pStyle w:val="CellHeader"/>
              <w:jc w:val="center"/>
            </w:pPr>
            <w:r>
              <w:rPr>
                <w:rFonts w:cs="Times New Roman"/>
              </w:rPr>
              <w:t>Izvor podataka</w:t>
            </w:r>
          </w:p>
        </w:tc>
        <w:tc>
          <w:tcPr>
            <w:tcW w:w="1020" w:type="dxa"/>
            <w:shd w:val="clear" w:color="auto" w:fill="B5C0D8"/>
          </w:tcPr>
          <w:p w14:paraId="548AEAD6" w14:textId="77777777" w:rsidR="002452BB" w:rsidRDefault="00000000">
            <w:pPr>
              <w:pStyle w:val="CellHeader"/>
              <w:jc w:val="center"/>
            </w:pPr>
            <w:r>
              <w:rPr>
                <w:rFonts w:cs="Times New Roman"/>
              </w:rPr>
              <w:t>Ciljana vrijednost (2025.)</w:t>
            </w:r>
          </w:p>
        </w:tc>
        <w:tc>
          <w:tcPr>
            <w:tcW w:w="1020" w:type="dxa"/>
            <w:shd w:val="clear" w:color="auto" w:fill="B5C0D8"/>
          </w:tcPr>
          <w:p w14:paraId="7060021C" w14:textId="77777777" w:rsidR="002452BB" w:rsidRDefault="00000000">
            <w:pPr>
              <w:pStyle w:val="CellHeader"/>
              <w:jc w:val="center"/>
            </w:pPr>
            <w:r>
              <w:rPr>
                <w:rFonts w:cs="Times New Roman"/>
              </w:rPr>
              <w:t>Ostvarena vrijednost (2025.)</w:t>
            </w:r>
          </w:p>
        </w:tc>
      </w:tr>
      <w:tr w:rsidR="002452BB" w14:paraId="7573686E" w14:textId="77777777">
        <w:trPr>
          <w:jc w:val="center"/>
        </w:trPr>
        <w:tc>
          <w:tcPr>
            <w:tcW w:w="2551" w:type="dxa"/>
          </w:tcPr>
          <w:p w14:paraId="16156DE8" w14:textId="77777777" w:rsidR="002452BB" w:rsidRDefault="00000000">
            <w:pPr>
              <w:pStyle w:val="CellColumn"/>
              <w:jc w:val="left"/>
            </w:pPr>
            <w:r>
              <w:rPr>
                <w:rFonts w:cs="Times New Roman"/>
              </w:rPr>
              <w:t>Stupanj izgrađenosti terminala u Resniku i Gata sv Petra u gradskoj luci</w:t>
            </w:r>
          </w:p>
        </w:tc>
        <w:tc>
          <w:tcPr>
            <w:tcW w:w="2551" w:type="dxa"/>
          </w:tcPr>
          <w:p w14:paraId="4F261F11" w14:textId="77777777" w:rsidR="002452BB" w:rsidRDefault="00000000">
            <w:pPr>
              <w:pStyle w:val="CellColumn"/>
              <w:jc w:val="left"/>
            </w:pPr>
            <w:r>
              <w:rPr>
                <w:rFonts w:cs="Times New Roman"/>
              </w:rPr>
              <w:t>Završetkom rekonstrukcije obale, povećat će se kapaciteti za prihvat putnika u cilju poboljšanja lučke infrastrukture</w:t>
            </w:r>
          </w:p>
        </w:tc>
        <w:tc>
          <w:tcPr>
            <w:tcW w:w="1020" w:type="dxa"/>
          </w:tcPr>
          <w:p w14:paraId="0482BB73" w14:textId="77777777" w:rsidR="002452BB" w:rsidRDefault="00000000">
            <w:pPr>
              <w:pStyle w:val="CellColumn"/>
              <w:jc w:val="right"/>
            </w:pPr>
            <w:r>
              <w:rPr>
                <w:rFonts w:cs="Times New Roman"/>
              </w:rPr>
              <w:t>%</w:t>
            </w:r>
          </w:p>
        </w:tc>
        <w:tc>
          <w:tcPr>
            <w:tcW w:w="1020" w:type="dxa"/>
          </w:tcPr>
          <w:p w14:paraId="265DF050" w14:textId="77777777" w:rsidR="002452BB" w:rsidRDefault="00000000">
            <w:pPr>
              <w:pStyle w:val="CellColumn"/>
              <w:jc w:val="right"/>
            </w:pPr>
            <w:r>
              <w:rPr>
                <w:rFonts w:cs="Times New Roman"/>
              </w:rPr>
              <w:t>0</w:t>
            </w:r>
          </w:p>
        </w:tc>
        <w:tc>
          <w:tcPr>
            <w:tcW w:w="1020" w:type="dxa"/>
          </w:tcPr>
          <w:p w14:paraId="7CD8F61D" w14:textId="77777777" w:rsidR="002452BB" w:rsidRDefault="00000000">
            <w:pPr>
              <w:pStyle w:val="CellColumn"/>
              <w:jc w:val="right"/>
            </w:pPr>
            <w:r>
              <w:rPr>
                <w:rFonts w:cs="Times New Roman"/>
              </w:rPr>
              <w:t>Lučka uprava Splut</w:t>
            </w:r>
          </w:p>
        </w:tc>
        <w:tc>
          <w:tcPr>
            <w:tcW w:w="1020" w:type="dxa"/>
          </w:tcPr>
          <w:p w14:paraId="2A66BA8F" w14:textId="77777777" w:rsidR="002452BB" w:rsidRDefault="00000000">
            <w:pPr>
              <w:pStyle w:val="CellColumn"/>
              <w:jc w:val="right"/>
            </w:pPr>
            <w:r>
              <w:rPr>
                <w:rFonts w:cs="Times New Roman"/>
              </w:rPr>
              <w:t>20%</w:t>
            </w:r>
          </w:p>
        </w:tc>
        <w:tc>
          <w:tcPr>
            <w:tcW w:w="1020" w:type="dxa"/>
          </w:tcPr>
          <w:p w14:paraId="420FDBE3" w14:textId="77777777" w:rsidR="002452BB" w:rsidRDefault="00000000">
            <w:pPr>
              <w:pStyle w:val="CellColumn"/>
              <w:jc w:val="right"/>
            </w:pPr>
            <w:r>
              <w:rPr>
                <w:rFonts w:cs="Times New Roman"/>
              </w:rPr>
              <w:t>34,8%</w:t>
            </w:r>
          </w:p>
        </w:tc>
      </w:tr>
    </w:tbl>
    <w:p w14:paraId="677A4369" w14:textId="77777777" w:rsidR="002452BB" w:rsidRDefault="002452BB">
      <w:pPr>
        <w:jc w:val="left"/>
      </w:pPr>
    </w:p>
    <w:p w14:paraId="5879124C" w14:textId="77777777" w:rsidR="002452BB" w:rsidRDefault="00000000">
      <w:pPr>
        <w:pStyle w:val="Heading4"/>
      </w:pPr>
      <w:r>
        <w:t>K754086 UVOĐENJE INTELIGENTNIH TRANSPORTNIH SUSTAVA NA FUNKCIONALNOM PROMETNOM PODRUČJU GRADA SPLITA</w:t>
      </w:r>
    </w:p>
    <w:tbl>
      <w:tblPr>
        <w:tblStyle w:val="StilTablice"/>
        <w:tblW w:w="10206" w:type="dxa"/>
        <w:jc w:val="center"/>
        <w:tblLook w:val="04A0" w:firstRow="1" w:lastRow="0" w:firstColumn="1" w:lastColumn="0" w:noHBand="0" w:noVBand="1"/>
      </w:tblPr>
      <w:tblGrid>
        <w:gridCol w:w="1882"/>
        <w:gridCol w:w="1972"/>
        <w:gridCol w:w="1956"/>
        <w:gridCol w:w="1972"/>
        <w:gridCol w:w="1209"/>
        <w:gridCol w:w="1215"/>
      </w:tblGrid>
      <w:tr w:rsidR="002452BB" w14:paraId="4B7BC5DC" w14:textId="77777777">
        <w:trPr>
          <w:jc w:val="center"/>
        </w:trPr>
        <w:tc>
          <w:tcPr>
            <w:tcW w:w="1632" w:type="dxa"/>
            <w:shd w:val="clear" w:color="auto" w:fill="B5C0D8"/>
          </w:tcPr>
          <w:p w14:paraId="37BFD0D1" w14:textId="77777777" w:rsidR="002452BB" w:rsidRDefault="00000000">
            <w:pPr>
              <w:pStyle w:val="CellHeader"/>
              <w:jc w:val="center"/>
            </w:pPr>
            <w:r>
              <w:rPr>
                <w:rFonts w:cs="Times New Roman"/>
              </w:rPr>
              <w:t>Naziv aktivnosti</w:t>
            </w:r>
          </w:p>
        </w:tc>
        <w:tc>
          <w:tcPr>
            <w:tcW w:w="2041" w:type="dxa"/>
            <w:shd w:val="clear" w:color="auto" w:fill="B5C0D8"/>
          </w:tcPr>
          <w:p w14:paraId="54BAA848" w14:textId="77777777" w:rsidR="002452BB" w:rsidRDefault="00000000">
            <w:pPr>
              <w:pStyle w:val="CellHeader"/>
              <w:jc w:val="center"/>
            </w:pPr>
            <w:r>
              <w:rPr>
                <w:rFonts w:cs="Times New Roman"/>
              </w:rPr>
              <w:t>Izvršenje 2024. (eur)</w:t>
            </w:r>
          </w:p>
        </w:tc>
        <w:tc>
          <w:tcPr>
            <w:tcW w:w="2041" w:type="dxa"/>
            <w:shd w:val="clear" w:color="auto" w:fill="B5C0D8"/>
          </w:tcPr>
          <w:p w14:paraId="17D6C181" w14:textId="77777777" w:rsidR="002452BB" w:rsidRDefault="00000000">
            <w:pPr>
              <w:pStyle w:val="CellHeader"/>
              <w:jc w:val="center"/>
            </w:pPr>
            <w:r>
              <w:rPr>
                <w:rFonts w:cs="Times New Roman"/>
              </w:rPr>
              <w:t>Plan 2025. (eur)</w:t>
            </w:r>
          </w:p>
        </w:tc>
        <w:tc>
          <w:tcPr>
            <w:tcW w:w="2041" w:type="dxa"/>
            <w:shd w:val="clear" w:color="auto" w:fill="B5C0D8"/>
          </w:tcPr>
          <w:p w14:paraId="24CA2232" w14:textId="77777777" w:rsidR="002452BB" w:rsidRDefault="00000000">
            <w:pPr>
              <w:pStyle w:val="CellHeader"/>
              <w:jc w:val="center"/>
            </w:pPr>
            <w:r>
              <w:rPr>
                <w:rFonts w:cs="Times New Roman"/>
              </w:rPr>
              <w:t>Izvršenje 2025. (eur)</w:t>
            </w:r>
          </w:p>
        </w:tc>
        <w:tc>
          <w:tcPr>
            <w:tcW w:w="1224" w:type="dxa"/>
            <w:shd w:val="clear" w:color="auto" w:fill="B5C0D8"/>
          </w:tcPr>
          <w:p w14:paraId="798E91B5" w14:textId="77777777" w:rsidR="002452BB" w:rsidRDefault="00000000">
            <w:pPr>
              <w:pStyle w:val="CellHeader"/>
              <w:jc w:val="center"/>
            </w:pPr>
            <w:r>
              <w:rPr>
                <w:rFonts w:cs="Times New Roman"/>
              </w:rPr>
              <w:t>Indeks izvršenje 2025./plan 2025.</w:t>
            </w:r>
          </w:p>
        </w:tc>
        <w:tc>
          <w:tcPr>
            <w:tcW w:w="1224" w:type="dxa"/>
            <w:shd w:val="clear" w:color="auto" w:fill="B5C0D8"/>
          </w:tcPr>
          <w:p w14:paraId="6D78B9C6" w14:textId="77777777" w:rsidR="002452BB" w:rsidRDefault="00000000">
            <w:pPr>
              <w:pStyle w:val="CellHeader"/>
              <w:jc w:val="center"/>
            </w:pPr>
            <w:r>
              <w:rPr>
                <w:rFonts w:cs="Times New Roman"/>
              </w:rPr>
              <w:t>Indeks izvršenje 2025./2024.</w:t>
            </w:r>
          </w:p>
        </w:tc>
      </w:tr>
      <w:tr w:rsidR="002452BB" w14:paraId="095E037E" w14:textId="77777777">
        <w:trPr>
          <w:jc w:val="center"/>
        </w:trPr>
        <w:tc>
          <w:tcPr>
            <w:tcW w:w="1632" w:type="dxa"/>
          </w:tcPr>
          <w:p w14:paraId="6662562C" w14:textId="77777777" w:rsidR="002452BB" w:rsidRDefault="00000000">
            <w:pPr>
              <w:pStyle w:val="CellColumn"/>
              <w:jc w:val="left"/>
            </w:pPr>
            <w:r>
              <w:rPr>
                <w:rFonts w:cs="Times New Roman"/>
              </w:rPr>
              <w:t>K754086-UVOĐENJE INTELIGENTNIH TRANSPORTNIH SUSTAVA NA FUNKCIONALNOM PROMETNOM PODRUČJU GRADA SPLITA</w:t>
            </w:r>
          </w:p>
        </w:tc>
        <w:tc>
          <w:tcPr>
            <w:tcW w:w="2041" w:type="dxa"/>
          </w:tcPr>
          <w:p w14:paraId="6590BA3D" w14:textId="77777777" w:rsidR="002452BB" w:rsidRDefault="00000000">
            <w:pPr>
              <w:pStyle w:val="CellColumn"/>
              <w:jc w:val="right"/>
            </w:pPr>
            <w:r>
              <w:rPr>
                <w:rFonts w:cs="Times New Roman"/>
              </w:rPr>
              <w:t>4.804</w:t>
            </w:r>
          </w:p>
        </w:tc>
        <w:tc>
          <w:tcPr>
            <w:tcW w:w="2041" w:type="dxa"/>
          </w:tcPr>
          <w:p w14:paraId="7C459158" w14:textId="77777777" w:rsidR="002452BB" w:rsidRDefault="00000000">
            <w:pPr>
              <w:pStyle w:val="CellColumn"/>
              <w:jc w:val="right"/>
            </w:pPr>
            <w:r>
              <w:rPr>
                <w:rFonts w:cs="Times New Roman"/>
              </w:rPr>
              <w:t>00</w:t>
            </w:r>
          </w:p>
        </w:tc>
        <w:tc>
          <w:tcPr>
            <w:tcW w:w="2041" w:type="dxa"/>
          </w:tcPr>
          <w:p w14:paraId="13E5DF59" w14:textId="77777777" w:rsidR="002452BB" w:rsidRDefault="00000000">
            <w:pPr>
              <w:pStyle w:val="CellColumn"/>
              <w:jc w:val="right"/>
            </w:pPr>
            <w:r>
              <w:rPr>
                <w:rFonts w:cs="Times New Roman"/>
              </w:rPr>
              <w:t>18.519</w:t>
            </w:r>
          </w:p>
        </w:tc>
        <w:tc>
          <w:tcPr>
            <w:tcW w:w="1224" w:type="dxa"/>
          </w:tcPr>
          <w:p w14:paraId="74B60EE7" w14:textId="77777777" w:rsidR="002452BB" w:rsidRDefault="00000000">
            <w:pPr>
              <w:pStyle w:val="CellColumn"/>
              <w:jc w:val="right"/>
            </w:pPr>
            <w:r>
              <w:rPr>
                <w:rFonts w:cs="Times New Roman"/>
              </w:rPr>
              <w:t>0,0</w:t>
            </w:r>
          </w:p>
        </w:tc>
        <w:tc>
          <w:tcPr>
            <w:tcW w:w="1224" w:type="dxa"/>
          </w:tcPr>
          <w:p w14:paraId="0766AF41" w14:textId="77777777" w:rsidR="002452BB" w:rsidRDefault="00000000">
            <w:pPr>
              <w:pStyle w:val="CellColumn"/>
              <w:jc w:val="right"/>
            </w:pPr>
            <w:r>
              <w:rPr>
                <w:rFonts w:cs="Times New Roman"/>
              </w:rPr>
              <w:t>385,5</w:t>
            </w:r>
          </w:p>
        </w:tc>
      </w:tr>
    </w:tbl>
    <w:p w14:paraId="76B8B90F" w14:textId="77777777" w:rsidR="002452BB" w:rsidRDefault="002452BB">
      <w:pPr>
        <w:jc w:val="left"/>
      </w:pPr>
    </w:p>
    <w:p w14:paraId="27A06ECF" w14:textId="77777777" w:rsidR="002452BB" w:rsidRDefault="00000000">
      <w:pPr>
        <w:pStyle w:val="Heading8"/>
        <w:jc w:val="left"/>
      </w:pPr>
      <w:r>
        <w:lastRenderedPageBreak/>
        <w:t>Zakonske i druge pravne osnove</w:t>
      </w:r>
    </w:p>
    <w:p w14:paraId="50C7C680" w14:textId="77777777" w:rsidR="002452BB" w:rsidRDefault="00000000">
      <w:r>
        <w:t xml:space="preserve">- Zakon o pomorskom dobru i morskim lukama NN 83/2023 </w:t>
      </w:r>
    </w:p>
    <w:p w14:paraId="1B170B65" w14:textId="77777777" w:rsidR="002452BB" w:rsidRDefault="00000000">
      <w:r>
        <w:t xml:space="preserve">- OP Konkurentnost i kohezija, prioritetna os 7. Povezanost i mobilnost  </w:t>
      </w:r>
    </w:p>
    <w:p w14:paraId="5E1CF4EF" w14:textId="77777777" w:rsidR="002452BB" w:rsidRDefault="00000000">
      <w:r>
        <w:t>- Zakon o uspostavi institucionalnog okvira za provedbu europskih strukturnih i investicijskih fondova u Republici Hrvatskoj u razdoblju 2021-2027</w:t>
      </w:r>
    </w:p>
    <w:p w14:paraId="17ED6D76" w14:textId="77777777" w:rsidR="002452BB" w:rsidRDefault="00000000">
      <w:pPr>
        <w:pStyle w:val="Heading8"/>
        <w:jc w:val="left"/>
      </w:pPr>
      <w:r>
        <w:t>Opis aktivnosti</w:t>
      </w:r>
    </w:p>
    <w:p w14:paraId="0A8D0C48" w14:textId="3B362641" w:rsidR="002452BB" w:rsidRDefault="00000000">
      <w:r>
        <w:t>Ugovorom o dodjeli bespovratnih sredstava za projekte financirane iz europskih strukturnih i investicijskih fondova u financijskom razdoblju 2014-2020 u suradnji Ministarstva mora , prometa i infrastrukture te Središnje agencije za financiranje i ugovaranje programa i projekata EU u kojem  je korisnik Grad Split  sa partnerima odobreno je ukupno 12.757.241,01 EUR prihvatljivih troškova , od čega se 85%  odnosi na bespovratna sredstva. Projekt nije završen i planirano je produženje trajanja do 31.12.2027. godine. Cilj projekta:  Inteligentni transportni sustavi(ITS)predstavljaju upravljačku i informacijsko-komunikacijsku  nadgradnju klasičnog sustava prometa koji će na funkcionalnom prometnom području grada Splita doprinijeti stvaranju učinkovitijeg prometnog sustava  u vidu povećanja sigurnosti , produktivnosti , prometne efiksnosti i održivosti  te smanjenju prometnih zagušenja. Lučka uprava Split sudjeluje u projektu angažmanom radnika na poziciji Administrator projekta 2 u sklopu kojeg se obavljaju poslovi koordinacije projekta. Ukupno odobrena sredstva za Lučku upravu se odnose na  podmirivanje troškova plaća za radnika, temeljem njegove angažiranosti u projektu. U financijskom planu za 2025. godinu sredstva su planirana u iznosu od 23.300 €, na izvoru 562, koje je naknadno promijenjen na izvor 563. Stoga u planu za 2025. godinu nije naveden planirani iznos. Ostvarena vrijednost je 79,4% od planiranog, jer stupanj implementacije informacijskog sustava opreme nije izvršen sukladno planu.</w:t>
      </w:r>
      <w:r w:rsidR="00D95BC1">
        <w:t xml:space="preserve"> </w:t>
      </w:r>
      <w:r>
        <w:t>Slijedom navedenog, odstupanje od plana rezultat je objektivnih okolnosti provedbe i racionalne optimizacije angažmana resursa, bez utjecaja na ukupnu funkcionalnost i ciljeve projekta.</w:t>
      </w:r>
    </w:p>
    <w:p w14:paraId="601CD369"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1903D217" w14:textId="77777777">
        <w:trPr>
          <w:jc w:val="center"/>
        </w:trPr>
        <w:tc>
          <w:tcPr>
            <w:tcW w:w="2551" w:type="dxa"/>
            <w:shd w:val="clear" w:color="auto" w:fill="B5C0D8"/>
          </w:tcPr>
          <w:p w14:paraId="4CE75842" w14:textId="77777777" w:rsidR="002452BB" w:rsidRDefault="00000000">
            <w:pPr>
              <w:jc w:val="center"/>
            </w:pPr>
            <w:r>
              <w:t>Pokazatelj rezultata</w:t>
            </w:r>
          </w:p>
        </w:tc>
        <w:tc>
          <w:tcPr>
            <w:tcW w:w="2551" w:type="dxa"/>
            <w:shd w:val="clear" w:color="auto" w:fill="B5C0D8"/>
          </w:tcPr>
          <w:p w14:paraId="6231B224" w14:textId="77777777" w:rsidR="002452BB" w:rsidRDefault="00000000">
            <w:pPr>
              <w:pStyle w:val="CellHeader"/>
              <w:jc w:val="center"/>
            </w:pPr>
            <w:r>
              <w:rPr>
                <w:rFonts w:cs="Times New Roman"/>
              </w:rPr>
              <w:t>Definicija</w:t>
            </w:r>
          </w:p>
        </w:tc>
        <w:tc>
          <w:tcPr>
            <w:tcW w:w="1020" w:type="dxa"/>
            <w:shd w:val="clear" w:color="auto" w:fill="B5C0D8"/>
          </w:tcPr>
          <w:p w14:paraId="278C0AF0" w14:textId="77777777" w:rsidR="002452BB" w:rsidRDefault="00000000">
            <w:pPr>
              <w:pStyle w:val="CellHeader"/>
              <w:jc w:val="center"/>
            </w:pPr>
            <w:r>
              <w:rPr>
                <w:rFonts w:cs="Times New Roman"/>
              </w:rPr>
              <w:t>Jedinica</w:t>
            </w:r>
          </w:p>
        </w:tc>
        <w:tc>
          <w:tcPr>
            <w:tcW w:w="1020" w:type="dxa"/>
            <w:shd w:val="clear" w:color="auto" w:fill="B5C0D8"/>
          </w:tcPr>
          <w:p w14:paraId="428C5654" w14:textId="77777777" w:rsidR="002452BB" w:rsidRDefault="00000000">
            <w:pPr>
              <w:pStyle w:val="CellHeader"/>
              <w:jc w:val="center"/>
            </w:pPr>
            <w:r>
              <w:rPr>
                <w:rFonts w:cs="Times New Roman"/>
              </w:rPr>
              <w:t>Polazna vrijednost</w:t>
            </w:r>
          </w:p>
        </w:tc>
        <w:tc>
          <w:tcPr>
            <w:tcW w:w="1020" w:type="dxa"/>
            <w:shd w:val="clear" w:color="auto" w:fill="B5C0D8"/>
          </w:tcPr>
          <w:p w14:paraId="1CD8B6C0" w14:textId="77777777" w:rsidR="002452BB" w:rsidRDefault="00000000">
            <w:pPr>
              <w:pStyle w:val="CellHeader"/>
              <w:jc w:val="center"/>
            </w:pPr>
            <w:r>
              <w:rPr>
                <w:rFonts w:cs="Times New Roman"/>
              </w:rPr>
              <w:t>Izvor podataka</w:t>
            </w:r>
          </w:p>
        </w:tc>
        <w:tc>
          <w:tcPr>
            <w:tcW w:w="1020" w:type="dxa"/>
            <w:shd w:val="clear" w:color="auto" w:fill="B5C0D8"/>
          </w:tcPr>
          <w:p w14:paraId="40E79C3F" w14:textId="77777777" w:rsidR="002452BB" w:rsidRDefault="00000000">
            <w:pPr>
              <w:pStyle w:val="CellHeader"/>
              <w:jc w:val="center"/>
            </w:pPr>
            <w:r>
              <w:rPr>
                <w:rFonts w:cs="Times New Roman"/>
              </w:rPr>
              <w:t>Ciljana vrijednost (2025.)</w:t>
            </w:r>
          </w:p>
        </w:tc>
        <w:tc>
          <w:tcPr>
            <w:tcW w:w="1020" w:type="dxa"/>
            <w:shd w:val="clear" w:color="auto" w:fill="B5C0D8"/>
          </w:tcPr>
          <w:p w14:paraId="1061F515" w14:textId="77777777" w:rsidR="002452BB" w:rsidRDefault="00000000">
            <w:pPr>
              <w:pStyle w:val="CellHeader"/>
              <w:jc w:val="center"/>
            </w:pPr>
            <w:r>
              <w:rPr>
                <w:rFonts w:cs="Times New Roman"/>
              </w:rPr>
              <w:t>Ostvarena vrijednost (2025.)</w:t>
            </w:r>
          </w:p>
        </w:tc>
      </w:tr>
      <w:tr w:rsidR="002452BB" w14:paraId="5CF9D29B" w14:textId="77777777">
        <w:trPr>
          <w:jc w:val="center"/>
        </w:trPr>
        <w:tc>
          <w:tcPr>
            <w:tcW w:w="2551" w:type="dxa"/>
          </w:tcPr>
          <w:p w14:paraId="429F7D52" w14:textId="77777777" w:rsidR="002452BB" w:rsidRDefault="00000000">
            <w:pPr>
              <w:pStyle w:val="CellColumn"/>
              <w:jc w:val="left"/>
            </w:pPr>
            <w:r>
              <w:rPr>
                <w:rFonts w:cs="Times New Roman"/>
              </w:rPr>
              <w:t>Stupanj implementacije informacijsko -komunikacijskog sustava i opreme</w:t>
            </w:r>
          </w:p>
        </w:tc>
        <w:tc>
          <w:tcPr>
            <w:tcW w:w="2551" w:type="dxa"/>
          </w:tcPr>
          <w:p w14:paraId="7B9778C5" w14:textId="77777777" w:rsidR="002452BB" w:rsidRDefault="00000000">
            <w:pPr>
              <w:pStyle w:val="CellColumn"/>
              <w:jc w:val="left"/>
            </w:pPr>
            <w:r>
              <w:rPr>
                <w:rFonts w:cs="Times New Roman"/>
              </w:rPr>
              <w:t>podizanje razine kvalitete prometne usluge uvođenje inteligentnog prometnog sustava</w:t>
            </w:r>
          </w:p>
        </w:tc>
        <w:tc>
          <w:tcPr>
            <w:tcW w:w="1020" w:type="dxa"/>
          </w:tcPr>
          <w:p w14:paraId="7D01106E" w14:textId="77777777" w:rsidR="002452BB" w:rsidRDefault="00000000">
            <w:pPr>
              <w:pStyle w:val="CellColumn"/>
              <w:jc w:val="right"/>
            </w:pPr>
            <w:r>
              <w:rPr>
                <w:rFonts w:cs="Times New Roman"/>
              </w:rPr>
              <w:t>%</w:t>
            </w:r>
          </w:p>
        </w:tc>
        <w:tc>
          <w:tcPr>
            <w:tcW w:w="1020" w:type="dxa"/>
          </w:tcPr>
          <w:p w14:paraId="2CE03756" w14:textId="77777777" w:rsidR="002452BB" w:rsidRDefault="00000000">
            <w:pPr>
              <w:pStyle w:val="CellColumn"/>
              <w:jc w:val="right"/>
            </w:pPr>
            <w:r>
              <w:rPr>
                <w:rFonts w:cs="Times New Roman"/>
              </w:rPr>
              <w:t>0</w:t>
            </w:r>
          </w:p>
        </w:tc>
        <w:tc>
          <w:tcPr>
            <w:tcW w:w="1020" w:type="dxa"/>
          </w:tcPr>
          <w:p w14:paraId="30B79CF5" w14:textId="77777777" w:rsidR="002452BB" w:rsidRDefault="00000000">
            <w:pPr>
              <w:pStyle w:val="CellColumn"/>
              <w:jc w:val="right"/>
            </w:pPr>
            <w:r>
              <w:rPr>
                <w:rFonts w:cs="Times New Roman"/>
              </w:rPr>
              <w:t>Lučka uprava Split</w:t>
            </w:r>
          </w:p>
        </w:tc>
        <w:tc>
          <w:tcPr>
            <w:tcW w:w="1020" w:type="dxa"/>
          </w:tcPr>
          <w:p w14:paraId="0F0D3E1F" w14:textId="77777777" w:rsidR="002452BB" w:rsidRDefault="00000000">
            <w:pPr>
              <w:pStyle w:val="CellColumn"/>
              <w:jc w:val="right"/>
            </w:pPr>
            <w:r>
              <w:rPr>
                <w:rFonts w:cs="Times New Roman"/>
              </w:rPr>
              <w:t>100</w:t>
            </w:r>
          </w:p>
        </w:tc>
        <w:tc>
          <w:tcPr>
            <w:tcW w:w="1020" w:type="dxa"/>
          </w:tcPr>
          <w:p w14:paraId="0A14D9F2" w14:textId="77777777" w:rsidR="002452BB" w:rsidRDefault="00000000">
            <w:pPr>
              <w:pStyle w:val="CellColumn"/>
              <w:jc w:val="right"/>
            </w:pPr>
            <w:r>
              <w:rPr>
                <w:rFonts w:cs="Times New Roman"/>
              </w:rPr>
              <w:t>79,4%</w:t>
            </w:r>
          </w:p>
        </w:tc>
      </w:tr>
    </w:tbl>
    <w:p w14:paraId="77117F43" w14:textId="77777777" w:rsidR="002452BB" w:rsidRDefault="002452BB">
      <w:pPr>
        <w:jc w:val="left"/>
      </w:pPr>
    </w:p>
    <w:p w14:paraId="754C3050" w14:textId="77777777" w:rsidR="002452BB" w:rsidRDefault="00000000">
      <w:pPr>
        <w:pStyle w:val="Heading4"/>
      </w:pPr>
      <w:r>
        <w:t>K754087 INTERREG VI-B ADRION-POMORSKA OPERATIVNA UČINKOVITOST (AIMPRESS)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25680FDF" w14:textId="77777777">
        <w:trPr>
          <w:jc w:val="center"/>
        </w:trPr>
        <w:tc>
          <w:tcPr>
            <w:tcW w:w="1632" w:type="dxa"/>
            <w:shd w:val="clear" w:color="auto" w:fill="B5C0D8"/>
          </w:tcPr>
          <w:p w14:paraId="06E65A63" w14:textId="77777777" w:rsidR="002452BB" w:rsidRDefault="00000000">
            <w:pPr>
              <w:pStyle w:val="CellHeader"/>
              <w:jc w:val="center"/>
            </w:pPr>
            <w:r>
              <w:rPr>
                <w:rFonts w:cs="Times New Roman"/>
              </w:rPr>
              <w:t>Naziv aktivnosti</w:t>
            </w:r>
          </w:p>
        </w:tc>
        <w:tc>
          <w:tcPr>
            <w:tcW w:w="2041" w:type="dxa"/>
            <w:shd w:val="clear" w:color="auto" w:fill="B5C0D8"/>
          </w:tcPr>
          <w:p w14:paraId="4E263C0A" w14:textId="77777777" w:rsidR="002452BB" w:rsidRDefault="00000000">
            <w:pPr>
              <w:pStyle w:val="CellHeader"/>
              <w:jc w:val="center"/>
            </w:pPr>
            <w:r>
              <w:rPr>
                <w:rFonts w:cs="Times New Roman"/>
              </w:rPr>
              <w:t>Izvršenje 2024. (eur)</w:t>
            </w:r>
          </w:p>
        </w:tc>
        <w:tc>
          <w:tcPr>
            <w:tcW w:w="2041" w:type="dxa"/>
            <w:shd w:val="clear" w:color="auto" w:fill="B5C0D8"/>
          </w:tcPr>
          <w:p w14:paraId="2BDA2EB1" w14:textId="77777777" w:rsidR="002452BB" w:rsidRDefault="00000000">
            <w:pPr>
              <w:pStyle w:val="CellHeader"/>
              <w:jc w:val="center"/>
            </w:pPr>
            <w:r>
              <w:rPr>
                <w:rFonts w:cs="Times New Roman"/>
              </w:rPr>
              <w:t>Plan 2025. (eur)</w:t>
            </w:r>
          </w:p>
        </w:tc>
        <w:tc>
          <w:tcPr>
            <w:tcW w:w="2041" w:type="dxa"/>
            <w:shd w:val="clear" w:color="auto" w:fill="B5C0D8"/>
          </w:tcPr>
          <w:p w14:paraId="6C3DF4B8" w14:textId="77777777" w:rsidR="002452BB" w:rsidRDefault="00000000">
            <w:pPr>
              <w:pStyle w:val="CellHeader"/>
              <w:jc w:val="center"/>
            </w:pPr>
            <w:r>
              <w:rPr>
                <w:rFonts w:cs="Times New Roman"/>
              </w:rPr>
              <w:t>Izvršenje 2025. (eur)</w:t>
            </w:r>
          </w:p>
        </w:tc>
        <w:tc>
          <w:tcPr>
            <w:tcW w:w="1224" w:type="dxa"/>
            <w:shd w:val="clear" w:color="auto" w:fill="B5C0D8"/>
          </w:tcPr>
          <w:p w14:paraId="1FE22E6E" w14:textId="77777777" w:rsidR="002452BB" w:rsidRDefault="00000000">
            <w:pPr>
              <w:pStyle w:val="CellHeader"/>
              <w:jc w:val="center"/>
            </w:pPr>
            <w:r>
              <w:rPr>
                <w:rFonts w:cs="Times New Roman"/>
              </w:rPr>
              <w:t>Indeks izvršenje 2025./plan 2025.</w:t>
            </w:r>
          </w:p>
        </w:tc>
        <w:tc>
          <w:tcPr>
            <w:tcW w:w="1224" w:type="dxa"/>
            <w:shd w:val="clear" w:color="auto" w:fill="B5C0D8"/>
          </w:tcPr>
          <w:p w14:paraId="431C07E7" w14:textId="77777777" w:rsidR="002452BB" w:rsidRDefault="00000000">
            <w:pPr>
              <w:pStyle w:val="CellHeader"/>
              <w:jc w:val="center"/>
            </w:pPr>
            <w:r>
              <w:rPr>
                <w:rFonts w:cs="Times New Roman"/>
              </w:rPr>
              <w:t>Indeks izvršenje 2025./2024.</w:t>
            </w:r>
          </w:p>
        </w:tc>
      </w:tr>
      <w:tr w:rsidR="002452BB" w14:paraId="23992E85" w14:textId="77777777">
        <w:trPr>
          <w:jc w:val="center"/>
        </w:trPr>
        <w:tc>
          <w:tcPr>
            <w:tcW w:w="1632" w:type="dxa"/>
          </w:tcPr>
          <w:p w14:paraId="2435A785" w14:textId="77777777" w:rsidR="002452BB" w:rsidRDefault="00000000">
            <w:pPr>
              <w:pStyle w:val="CellColumn"/>
              <w:jc w:val="left"/>
            </w:pPr>
            <w:r>
              <w:rPr>
                <w:rFonts w:cs="Times New Roman"/>
              </w:rPr>
              <w:t>K754087-INTERREG VI-B ADRION-POMORSKA OPERATIVNA UČINKOVITOST (AIMPRESS)</w:t>
            </w:r>
          </w:p>
        </w:tc>
        <w:tc>
          <w:tcPr>
            <w:tcW w:w="2041" w:type="dxa"/>
          </w:tcPr>
          <w:p w14:paraId="39685410" w14:textId="77777777" w:rsidR="002452BB" w:rsidRDefault="00000000">
            <w:pPr>
              <w:pStyle w:val="CellColumn"/>
              <w:jc w:val="right"/>
            </w:pPr>
            <w:r>
              <w:rPr>
                <w:rFonts w:cs="Times New Roman"/>
              </w:rPr>
              <w:t>00</w:t>
            </w:r>
          </w:p>
        </w:tc>
        <w:tc>
          <w:tcPr>
            <w:tcW w:w="2041" w:type="dxa"/>
          </w:tcPr>
          <w:p w14:paraId="726DACDF" w14:textId="77777777" w:rsidR="002452BB" w:rsidRDefault="00000000">
            <w:pPr>
              <w:pStyle w:val="CellColumn"/>
              <w:jc w:val="right"/>
            </w:pPr>
            <w:r>
              <w:rPr>
                <w:rFonts w:cs="Times New Roman"/>
              </w:rPr>
              <w:t>27.750</w:t>
            </w:r>
          </w:p>
        </w:tc>
        <w:tc>
          <w:tcPr>
            <w:tcW w:w="2041" w:type="dxa"/>
          </w:tcPr>
          <w:p w14:paraId="748DD6A7" w14:textId="77777777" w:rsidR="002452BB" w:rsidRDefault="00000000">
            <w:pPr>
              <w:pStyle w:val="CellColumn"/>
              <w:jc w:val="right"/>
            </w:pPr>
            <w:r>
              <w:rPr>
                <w:rFonts w:cs="Times New Roman"/>
              </w:rPr>
              <w:t>1.840</w:t>
            </w:r>
          </w:p>
        </w:tc>
        <w:tc>
          <w:tcPr>
            <w:tcW w:w="1224" w:type="dxa"/>
          </w:tcPr>
          <w:p w14:paraId="0070B763" w14:textId="77777777" w:rsidR="002452BB" w:rsidRDefault="00000000">
            <w:pPr>
              <w:pStyle w:val="CellColumn"/>
              <w:jc w:val="right"/>
            </w:pPr>
            <w:r>
              <w:rPr>
                <w:rFonts w:cs="Times New Roman"/>
              </w:rPr>
              <w:t>6,6</w:t>
            </w:r>
          </w:p>
        </w:tc>
        <w:tc>
          <w:tcPr>
            <w:tcW w:w="1224" w:type="dxa"/>
          </w:tcPr>
          <w:p w14:paraId="7F380809" w14:textId="77777777" w:rsidR="002452BB" w:rsidRDefault="00000000">
            <w:pPr>
              <w:pStyle w:val="CellColumn"/>
              <w:jc w:val="right"/>
            </w:pPr>
            <w:r>
              <w:rPr>
                <w:rFonts w:cs="Times New Roman"/>
              </w:rPr>
              <w:t>0,0</w:t>
            </w:r>
          </w:p>
        </w:tc>
      </w:tr>
    </w:tbl>
    <w:p w14:paraId="469A5CE3" w14:textId="77777777" w:rsidR="002452BB" w:rsidRDefault="002452BB">
      <w:pPr>
        <w:jc w:val="left"/>
      </w:pPr>
    </w:p>
    <w:p w14:paraId="2AEA4FA0" w14:textId="77777777" w:rsidR="002452BB" w:rsidRDefault="00000000">
      <w:pPr>
        <w:pStyle w:val="Heading8"/>
        <w:jc w:val="left"/>
      </w:pPr>
      <w:r>
        <w:t>Zakonske i druge pravne osnove</w:t>
      </w:r>
    </w:p>
    <w:p w14:paraId="79FD7AD3" w14:textId="77777777" w:rsidR="002452BB" w:rsidRDefault="00000000">
      <w:r>
        <w:t xml:space="preserve">Zakon o institucionalnom okviru za korištenje fondova Europske unije u Republici Hrvatskoj (NN 116/21)Zakon o pomorskom dobru i morskim lukama(NN 83/23) </w:t>
      </w:r>
    </w:p>
    <w:p w14:paraId="0C5DD85B" w14:textId="77777777" w:rsidR="002452BB" w:rsidRDefault="00000000">
      <w:r>
        <w:t>Parterski sporazum za implementaciju projekta INTERREG VI-A Italija-  Hrvatska</w:t>
      </w:r>
    </w:p>
    <w:p w14:paraId="0741DD86" w14:textId="77777777" w:rsidR="002452BB" w:rsidRDefault="00000000">
      <w:pPr>
        <w:pStyle w:val="Heading8"/>
        <w:jc w:val="left"/>
      </w:pPr>
      <w:r>
        <w:lastRenderedPageBreak/>
        <w:t>Opis aktivnosti</w:t>
      </w:r>
    </w:p>
    <w:p w14:paraId="04DC1595" w14:textId="348B353D" w:rsidR="002452BB" w:rsidRDefault="00000000">
      <w:r>
        <w:t xml:space="preserve">Projekt INTERREG VI-B IPA ADRION IPA- AIMPRESS (Adriatic-Ionian Maritime oPeRational Efficiency and Sustainable Scheme) usmjeren je na jačanje operativne učinkovitosti i održivosti pomorskog prometa u Jadransko-jonskoj regiji, s naglaskom na pametnu mobilnost, učinkovitije upravljanje pomorskim sustavima i doprinos razvoju ugljično neutralnijeg i bolje povezanog prometnog prostora. Projekt je ugovoren u okviru programa Interreg IPA ADRION (Prioritet 3, SO 3.1) te traje od 01.09.2024. do 31.08.2027. (36 mjeseci), pri čemu se završetak provedbe planira krajem kolovoza 2027. godine. U izvještajnom razdoblju dio projektnih aktivnosti proveden je vlastitim kapacitetima, prvenstveno kroz pripremne, koordinacijske i stručne aktivnosti koje po svojoj prirodi ne zahtijevaju financijske izdatke za vanjske stručnjake, dok </w:t>
      </w:r>
      <w:r w:rsidR="0099159A">
        <w:t>su</w:t>
      </w:r>
      <w:r>
        <w:t xml:space="preserve"> troškovi osoblja prijavljeni u okviru izvještajnog razdoblja sukladno pravilima prihvatljivosti troškova. Dinamika izvršenja uvjetovana je objektivnim okolnostima provedbe, uključujući faznost projektnih aktivnosti, potrebu usklađenja projektnih preduvjeta i optimalno vremensko pozicioniranje aktivnosti s većim financijskim učinkom, u skladu s planiranom dinamikom provedbe projekta. Sukladno načelima učinkovitog i svrhovitog korištenja sredstava propisanim proračunskim okvirom, preostali dio aktivnosti izvršit će se u narednom razdoblju radi osiguranja njihove potpune funkcionalne i vremenske optimizacije te usklađenosti s pravilima prihvatljivosti troškova. Lučka uprava sudjeluje  u  izradi pilot aktivnosti koje pretpostavljaju istraživanja sustava digitalizacije, upravljanje energijom luka temeljen na umjetnoj inteligenciji.Lučkoj upravi Split su ukupno odobrena sredstva u iznosu od  69.000,00€. Aktivnosti koje izravno generiraju financijske učinke i ostvarenje pokazatelja, uključujući razvoj i implementaciju pilot rješenja, u 2025. godini još nisu dosegnule potrebnu razinu operativne i tehničke zrelosti za provedbu i financijsku realizaciju. Slijedom navedenog, neostvarenje pokazatelja i niža razina izvršenja rezultat su objektivnih okolnosti provedbe i optimalnog vremenskog pozicioniranja aktivnosti u skladu s planiranom dinamikom projekta.</w:t>
      </w:r>
    </w:p>
    <w:p w14:paraId="0A349594"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7E229567" w14:textId="77777777">
        <w:trPr>
          <w:jc w:val="center"/>
        </w:trPr>
        <w:tc>
          <w:tcPr>
            <w:tcW w:w="2551" w:type="dxa"/>
            <w:shd w:val="clear" w:color="auto" w:fill="B5C0D8"/>
          </w:tcPr>
          <w:p w14:paraId="1E5AF4D5" w14:textId="77777777" w:rsidR="002452BB" w:rsidRDefault="00000000">
            <w:pPr>
              <w:jc w:val="center"/>
            </w:pPr>
            <w:r>
              <w:t>Pokazatelj rezultata</w:t>
            </w:r>
          </w:p>
        </w:tc>
        <w:tc>
          <w:tcPr>
            <w:tcW w:w="2551" w:type="dxa"/>
            <w:shd w:val="clear" w:color="auto" w:fill="B5C0D8"/>
          </w:tcPr>
          <w:p w14:paraId="226F4D59" w14:textId="77777777" w:rsidR="002452BB" w:rsidRDefault="00000000">
            <w:pPr>
              <w:pStyle w:val="CellHeader"/>
              <w:jc w:val="center"/>
            </w:pPr>
            <w:r>
              <w:rPr>
                <w:rFonts w:cs="Times New Roman"/>
              </w:rPr>
              <w:t>Definicija</w:t>
            </w:r>
          </w:p>
        </w:tc>
        <w:tc>
          <w:tcPr>
            <w:tcW w:w="1020" w:type="dxa"/>
            <w:shd w:val="clear" w:color="auto" w:fill="B5C0D8"/>
          </w:tcPr>
          <w:p w14:paraId="22F70B20" w14:textId="77777777" w:rsidR="002452BB" w:rsidRDefault="00000000">
            <w:pPr>
              <w:pStyle w:val="CellHeader"/>
              <w:jc w:val="center"/>
            </w:pPr>
            <w:r>
              <w:rPr>
                <w:rFonts w:cs="Times New Roman"/>
              </w:rPr>
              <w:t>Jedinica</w:t>
            </w:r>
          </w:p>
        </w:tc>
        <w:tc>
          <w:tcPr>
            <w:tcW w:w="1020" w:type="dxa"/>
            <w:shd w:val="clear" w:color="auto" w:fill="B5C0D8"/>
          </w:tcPr>
          <w:p w14:paraId="7A72A283" w14:textId="77777777" w:rsidR="002452BB" w:rsidRDefault="00000000">
            <w:pPr>
              <w:pStyle w:val="CellHeader"/>
              <w:jc w:val="center"/>
            </w:pPr>
            <w:r>
              <w:rPr>
                <w:rFonts w:cs="Times New Roman"/>
              </w:rPr>
              <w:t>Polazna vrijednost</w:t>
            </w:r>
          </w:p>
        </w:tc>
        <w:tc>
          <w:tcPr>
            <w:tcW w:w="1020" w:type="dxa"/>
            <w:shd w:val="clear" w:color="auto" w:fill="B5C0D8"/>
          </w:tcPr>
          <w:p w14:paraId="1AD17E44" w14:textId="77777777" w:rsidR="002452BB" w:rsidRDefault="00000000">
            <w:pPr>
              <w:pStyle w:val="CellHeader"/>
              <w:jc w:val="center"/>
            </w:pPr>
            <w:r>
              <w:rPr>
                <w:rFonts w:cs="Times New Roman"/>
              </w:rPr>
              <w:t>Izvor podataka</w:t>
            </w:r>
          </w:p>
        </w:tc>
        <w:tc>
          <w:tcPr>
            <w:tcW w:w="1020" w:type="dxa"/>
            <w:shd w:val="clear" w:color="auto" w:fill="B5C0D8"/>
          </w:tcPr>
          <w:p w14:paraId="71E5C826" w14:textId="77777777" w:rsidR="002452BB" w:rsidRDefault="00000000">
            <w:pPr>
              <w:pStyle w:val="CellHeader"/>
              <w:jc w:val="center"/>
            </w:pPr>
            <w:r>
              <w:rPr>
                <w:rFonts w:cs="Times New Roman"/>
              </w:rPr>
              <w:t>Ciljana vrijednost (2025.)</w:t>
            </w:r>
          </w:p>
        </w:tc>
        <w:tc>
          <w:tcPr>
            <w:tcW w:w="1020" w:type="dxa"/>
            <w:shd w:val="clear" w:color="auto" w:fill="B5C0D8"/>
          </w:tcPr>
          <w:p w14:paraId="173C44A8" w14:textId="77777777" w:rsidR="002452BB" w:rsidRDefault="00000000">
            <w:pPr>
              <w:pStyle w:val="CellHeader"/>
              <w:jc w:val="center"/>
            </w:pPr>
            <w:r>
              <w:rPr>
                <w:rFonts w:cs="Times New Roman"/>
              </w:rPr>
              <w:t>Ostvarena vrijednost (2025.)</w:t>
            </w:r>
          </w:p>
        </w:tc>
      </w:tr>
      <w:tr w:rsidR="002452BB" w14:paraId="6C1A7044" w14:textId="77777777">
        <w:trPr>
          <w:jc w:val="center"/>
        </w:trPr>
        <w:tc>
          <w:tcPr>
            <w:tcW w:w="2551" w:type="dxa"/>
          </w:tcPr>
          <w:p w14:paraId="0FCA8F5A" w14:textId="77777777" w:rsidR="002452BB" w:rsidRDefault="00000000">
            <w:pPr>
              <w:pStyle w:val="CellColumn"/>
              <w:jc w:val="left"/>
            </w:pPr>
            <w:r>
              <w:rPr>
                <w:rFonts w:cs="Times New Roman"/>
              </w:rPr>
              <w:t>Stupanj implementacijesustava digitalizacije</w:t>
            </w:r>
          </w:p>
        </w:tc>
        <w:tc>
          <w:tcPr>
            <w:tcW w:w="2551" w:type="dxa"/>
          </w:tcPr>
          <w:p w14:paraId="68EA17C8" w14:textId="77777777" w:rsidR="002452BB" w:rsidRDefault="00000000">
            <w:pPr>
              <w:pStyle w:val="CellColumn"/>
              <w:jc w:val="left"/>
            </w:pPr>
            <w:r>
              <w:rPr>
                <w:rFonts w:cs="Times New Roman"/>
              </w:rPr>
              <w:t>Izrada pilot aktivnosti za istraživanje sustava digitalizacije</w:t>
            </w:r>
          </w:p>
        </w:tc>
        <w:tc>
          <w:tcPr>
            <w:tcW w:w="1020" w:type="dxa"/>
          </w:tcPr>
          <w:p w14:paraId="779F3450" w14:textId="77777777" w:rsidR="002452BB" w:rsidRDefault="00000000">
            <w:pPr>
              <w:pStyle w:val="CellColumn"/>
              <w:jc w:val="right"/>
            </w:pPr>
            <w:r>
              <w:rPr>
                <w:rFonts w:cs="Times New Roman"/>
              </w:rPr>
              <w:t>%</w:t>
            </w:r>
          </w:p>
        </w:tc>
        <w:tc>
          <w:tcPr>
            <w:tcW w:w="1020" w:type="dxa"/>
          </w:tcPr>
          <w:p w14:paraId="31A6C70B" w14:textId="77777777" w:rsidR="002452BB" w:rsidRDefault="00000000">
            <w:pPr>
              <w:pStyle w:val="CellColumn"/>
              <w:jc w:val="right"/>
            </w:pPr>
            <w:r>
              <w:rPr>
                <w:rFonts w:cs="Times New Roman"/>
              </w:rPr>
              <w:t>0</w:t>
            </w:r>
          </w:p>
        </w:tc>
        <w:tc>
          <w:tcPr>
            <w:tcW w:w="1020" w:type="dxa"/>
          </w:tcPr>
          <w:p w14:paraId="662EACB6" w14:textId="77777777" w:rsidR="002452BB" w:rsidRDefault="00000000">
            <w:pPr>
              <w:pStyle w:val="CellColumn"/>
              <w:jc w:val="right"/>
            </w:pPr>
            <w:r>
              <w:rPr>
                <w:rFonts w:cs="Times New Roman"/>
              </w:rPr>
              <w:t>Lučka uprava Split</w:t>
            </w:r>
          </w:p>
        </w:tc>
        <w:tc>
          <w:tcPr>
            <w:tcW w:w="1020" w:type="dxa"/>
          </w:tcPr>
          <w:p w14:paraId="27A4B968" w14:textId="77777777" w:rsidR="002452BB" w:rsidRDefault="00000000">
            <w:pPr>
              <w:pStyle w:val="CellColumn"/>
              <w:jc w:val="right"/>
            </w:pPr>
            <w:r>
              <w:rPr>
                <w:rFonts w:cs="Times New Roman"/>
              </w:rPr>
              <w:t>40</w:t>
            </w:r>
          </w:p>
        </w:tc>
        <w:tc>
          <w:tcPr>
            <w:tcW w:w="1020" w:type="dxa"/>
          </w:tcPr>
          <w:p w14:paraId="756984D9" w14:textId="77777777" w:rsidR="002452BB" w:rsidRDefault="00000000">
            <w:pPr>
              <w:pStyle w:val="CellColumn"/>
              <w:jc w:val="right"/>
            </w:pPr>
            <w:r>
              <w:rPr>
                <w:rFonts w:cs="Times New Roman"/>
              </w:rPr>
              <w:t>0</w:t>
            </w:r>
          </w:p>
        </w:tc>
      </w:tr>
    </w:tbl>
    <w:p w14:paraId="4D51CF39" w14:textId="77777777" w:rsidR="002452BB" w:rsidRDefault="002452BB">
      <w:pPr>
        <w:jc w:val="left"/>
      </w:pPr>
    </w:p>
    <w:p w14:paraId="5687948C" w14:textId="77777777" w:rsidR="002452BB" w:rsidRDefault="00000000">
      <w:pPr>
        <w:pStyle w:val="Heading4"/>
      </w:pPr>
      <w:r>
        <w:t>K754090 INTERREG VI-A ITALIJA_HRVATSKA 2021.-2027. PROMICANJE ZELENIH I PAMETNIH LUKA-PRESPORT</w:t>
      </w:r>
    </w:p>
    <w:tbl>
      <w:tblPr>
        <w:tblStyle w:val="StilTablice"/>
        <w:tblW w:w="10206" w:type="dxa"/>
        <w:jc w:val="center"/>
        <w:tblLook w:val="04A0" w:firstRow="1" w:lastRow="0" w:firstColumn="1" w:lastColumn="0" w:noHBand="0" w:noVBand="1"/>
      </w:tblPr>
      <w:tblGrid>
        <w:gridCol w:w="2048"/>
        <w:gridCol w:w="1923"/>
        <w:gridCol w:w="1905"/>
        <w:gridCol w:w="1923"/>
        <w:gridCol w:w="1198"/>
        <w:gridCol w:w="1209"/>
      </w:tblGrid>
      <w:tr w:rsidR="002452BB" w14:paraId="4260CAF7" w14:textId="77777777">
        <w:trPr>
          <w:jc w:val="center"/>
        </w:trPr>
        <w:tc>
          <w:tcPr>
            <w:tcW w:w="1632" w:type="dxa"/>
            <w:shd w:val="clear" w:color="auto" w:fill="B5C0D8"/>
          </w:tcPr>
          <w:p w14:paraId="2A5AACB5" w14:textId="77777777" w:rsidR="002452BB" w:rsidRDefault="00000000">
            <w:pPr>
              <w:pStyle w:val="CellHeader"/>
              <w:jc w:val="center"/>
            </w:pPr>
            <w:r>
              <w:rPr>
                <w:rFonts w:cs="Times New Roman"/>
              </w:rPr>
              <w:t>Naziv aktivnosti</w:t>
            </w:r>
          </w:p>
        </w:tc>
        <w:tc>
          <w:tcPr>
            <w:tcW w:w="2041" w:type="dxa"/>
            <w:shd w:val="clear" w:color="auto" w:fill="B5C0D8"/>
          </w:tcPr>
          <w:p w14:paraId="73A05A2B" w14:textId="77777777" w:rsidR="002452BB" w:rsidRDefault="00000000">
            <w:pPr>
              <w:pStyle w:val="CellHeader"/>
              <w:jc w:val="center"/>
            </w:pPr>
            <w:r>
              <w:rPr>
                <w:rFonts w:cs="Times New Roman"/>
              </w:rPr>
              <w:t>Izvršenje 2024. (eur)</w:t>
            </w:r>
          </w:p>
        </w:tc>
        <w:tc>
          <w:tcPr>
            <w:tcW w:w="2041" w:type="dxa"/>
            <w:shd w:val="clear" w:color="auto" w:fill="B5C0D8"/>
          </w:tcPr>
          <w:p w14:paraId="69B00939" w14:textId="77777777" w:rsidR="002452BB" w:rsidRDefault="00000000">
            <w:pPr>
              <w:pStyle w:val="CellHeader"/>
              <w:jc w:val="center"/>
            </w:pPr>
            <w:r>
              <w:rPr>
                <w:rFonts w:cs="Times New Roman"/>
              </w:rPr>
              <w:t>Plan 2025. (eur)</w:t>
            </w:r>
          </w:p>
        </w:tc>
        <w:tc>
          <w:tcPr>
            <w:tcW w:w="2041" w:type="dxa"/>
            <w:shd w:val="clear" w:color="auto" w:fill="B5C0D8"/>
          </w:tcPr>
          <w:p w14:paraId="215EB53D" w14:textId="77777777" w:rsidR="002452BB" w:rsidRDefault="00000000">
            <w:pPr>
              <w:pStyle w:val="CellHeader"/>
              <w:jc w:val="center"/>
            </w:pPr>
            <w:r>
              <w:rPr>
                <w:rFonts w:cs="Times New Roman"/>
              </w:rPr>
              <w:t>Izvršenje 2025. (eur)</w:t>
            </w:r>
          </w:p>
        </w:tc>
        <w:tc>
          <w:tcPr>
            <w:tcW w:w="1224" w:type="dxa"/>
            <w:shd w:val="clear" w:color="auto" w:fill="B5C0D8"/>
          </w:tcPr>
          <w:p w14:paraId="495B9D5B" w14:textId="77777777" w:rsidR="002452BB" w:rsidRDefault="00000000">
            <w:pPr>
              <w:pStyle w:val="CellHeader"/>
              <w:jc w:val="center"/>
            </w:pPr>
            <w:r>
              <w:rPr>
                <w:rFonts w:cs="Times New Roman"/>
              </w:rPr>
              <w:t>Indeks izvršenje 2025./plan 2025.</w:t>
            </w:r>
          </w:p>
        </w:tc>
        <w:tc>
          <w:tcPr>
            <w:tcW w:w="1224" w:type="dxa"/>
            <w:shd w:val="clear" w:color="auto" w:fill="B5C0D8"/>
          </w:tcPr>
          <w:p w14:paraId="5AB08EBD" w14:textId="77777777" w:rsidR="002452BB" w:rsidRDefault="00000000">
            <w:pPr>
              <w:pStyle w:val="CellHeader"/>
              <w:jc w:val="center"/>
            </w:pPr>
            <w:r>
              <w:rPr>
                <w:rFonts w:cs="Times New Roman"/>
              </w:rPr>
              <w:t>Indeks izvršenje 2025./2024.</w:t>
            </w:r>
          </w:p>
        </w:tc>
      </w:tr>
      <w:tr w:rsidR="002452BB" w14:paraId="09D0F638" w14:textId="77777777">
        <w:trPr>
          <w:jc w:val="center"/>
        </w:trPr>
        <w:tc>
          <w:tcPr>
            <w:tcW w:w="1632" w:type="dxa"/>
          </w:tcPr>
          <w:p w14:paraId="16574B90" w14:textId="77777777" w:rsidR="002452BB" w:rsidRDefault="00000000">
            <w:pPr>
              <w:pStyle w:val="CellColumn"/>
              <w:jc w:val="left"/>
            </w:pPr>
            <w:r>
              <w:rPr>
                <w:rFonts w:cs="Times New Roman"/>
              </w:rPr>
              <w:t>K754090-INTERREG VI-A ITALIJA_HRVATSKA 2021.-2027. PROMICANJE ZELENIH I PAMETNIH LUKA-PRESPORT</w:t>
            </w:r>
          </w:p>
        </w:tc>
        <w:tc>
          <w:tcPr>
            <w:tcW w:w="2041" w:type="dxa"/>
          </w:tcPr>
          <w:p w14:paraId="2DFA8105" w14:textId="77777777" w:rsidR="002452BB" w:rsidRDefault="00000000">
            <w:pPr>
              <w:pStyle w:val="CellColumn"/>
              <w:jc w:val="right"/>
            </w:pPr>
            <w:r>
              <w:rPr>
                <w:rFonts w:cs="Times New Roman"/>
              </w:rPr>
              <w:t>00</w:t>
            </w:r>
          </w:p>
        </w:tc>
        <w:tc>
          <w:tcPr>
            <w:tcW w:w="2041" w:type="dxa"/>
          </w:tcPr>
          <w:p w14:paraId="7E346F02" w14:textId="77777777" w:rsidR="002452BB" w:rsidRDefault="00000000">
            <w:pPr>
              <w:pStyle w:val="CellColumn"/>
              <w:jc w:val="right"/>
            </w:pPr>
            <w:r>
              <w:rPr>
                <w:rFonts w:cs="Times New Roman"/>
              </w:rPr>
              <w:t>19.500</w:t>
            </w:r>
          </w:p>
        </w:tc>
        <w:tc>
          <w:tcPr>
            <w:tcW w:w="2041" w:type="dxa"/>
          </w:tcPr>
          <w:p w14:paraId="3C93A9E5" w14:textId="77777777" w:rsidR="002452BB" w:rsidRDefault="00000000">
            <w:pPr>
              <w:pStyle w:val="CellColumn"/>
              <w:jc w:val="right"/>
            </w:pPr>
            <w:r>
              <w:rPr>
                <w:rFonts w:cs="Times New Roman"/>
              </w:rPr>
              <w:t>00</w:t>
            </w:r>
          </w:p>
        </w:tc>
        <w:tc>
          <w:tcPr>
            <w:tcW w:w="1224" w:type="dxa"/>
          </w:tcPr>
          <w:p w14:paraId="07E98DF0" w14:textId="77777777" w:rsidR="002452BB" w:rsidRDefault="00000000">
            <w:pPr>
              <w:pStyle w:val="CellColumn"/>
              <w:jc w:val="right"/>
            </w:pPr>
            <w:r>
              <w:rPr>
                <w:rFonts w:cs="Times New Roman"/>
              </w:rPr>
              <w:t>0,0</w:t>
            </w:r>
          </w:p>
        </w:tc>
        <w:tc>
          <w:tcPr>
            <w:tcW w:w="1224" w:type="dxa"/>
          </w:tcPr>
          <w:p w14:paraId="25F6D833" w14:textId="77777777" w:rsidR="002452BB" w:rsidRDefault="00000000">
            <w:pPr>
              <w:pStyle w:val="CellColumn"/>
              <w:jc w:val="right"/>
            </w:pPr>
            <w:r>
              <w:rPr>
                <w:rFonts w:cs="Times New Roman"/>
              </w:rPr>
              <w:t>0,0</w:t>
            </w:r>
          </w:p>
        </w:tc>
      </w:tr>
    </w:tbl>
    <w:p w14:paraId="30828615" w14:textId="77777777" w:rsidR="002452BB" w:rsidRDefault="002452BB">
      <w:pPr>
        <w:jc w:val="left"/>
      </w:pPr>
    </w:p>
    <w:p w14:paraId="1A5E8EE6" w14:textId="77777777" w:rsidR="002452BB" w:rsidRDefault="00000000">
      <w:pPr>
        <w:pStyle w:val="Heading8"/>
        <w:jc w:val="left"/>
      </w:pPr>
      <w:r>
        <w:t>Zakonske i druge pravne osnove</w:t>
      </w:r>
    </w:p>
    <w:p w14:paraId="389CDB08" w14:textId="77777777" w:rsidR="002452BB" w:rsidRDefault="00000000">
      <w:r>
        <w:t>Zakon o institucionalnom okviru za korištenje fondova Europske unije u Republici Hrvatskoj (NN 116/21)Zakon o pomorskom dobru i morskim lukama(NN 83/23) - Parterski sporazum za implementaciju projekta INTERREG VI-A Italija- Hrvatska</w:t>
      </w:r>
    </w:p>
    <w:p w14:paraId="748B94B3" w14:textId="77777777" w:rsidR="002452BB" w:rsidRDefault="00000000">
      <w:pPr>
        <w:pStyle w:val="Heading8"/>
        <w:jc w:val="left"/>
      </w:pPr>
      <w:r>
        <w:t>Opis aktivnosti</w:t>
      </w:r>
    </w:p>
    <w:p w14:paraId="29D48C38" w14:textId="23247142" w:rsidR="002452BB" w:rsidRDefault="00000000">
      <w:r>
        <w:t>Projekt INTERREG VI-A Italy–</w:t>
      </w:r>
      <w:r w:rsidR="00076065">
        <w:t>Hrvatska</w:t>
      </w:r>
      <w:r>
        <w:t xml:space="preserve">– PRESPORT (PRomoting grEen and Smart PORT hubs in the Adriatic Sea) usmjeren je na poticanje zelene i digitalne tranzicije jadranskih luka kroz razvoj i testiranje rješenja u području </w:t>
      </w:r>
      <w:r>
        <w:lastRenderedPageBreak/>
        <w:t>dekarbonizacije, digitalizacije, energetske učinkovitosti, multimodalnosti i otpornosti lučkih sustava. Projekt je ugovoren u okviru programa Interreg Italy–Croatia (Prioritet 3, SO 3.1) te traje od 01.07.2025. do 31.12.2028. u ukupnom trajanju od 42 mjeseca. U okviru projekta Lučka uprava Split sudjeluje kao partner PP13, pri čemu je za Lučku upravu Split u okviru radnog paketa dekarbonizacije predviđena izrada predinvesticijske studijske i konceptualne tehničke dokumentacije za OPS (Onshore Power Supply), odnosno dokumentacije za razvoj integriranog sustava obalnog napajanja brodova i infrastrukture za punjenje električnih brodova u Gradskoj luci Split, dok je u području digitalizacije predviđen razvoj strategije digitalizacije i pilot-validacija odabranog digitalnog rješenja. U izvještajnom razdoblju postupak javne nabave za OPS dokumentaciju još nije pokrenut, slijedom čega nije bilo financijski značajnijeg izvršenja na toj stavci, ali su provedene pripremne, koordinacijske i analitičke aktivnosti nužne za pravilno definiranje predmeta nabave i osiguranje pune tehničke, regulatorne i projektne usklađenosti buduće dokumentacije. S obzirom na to da je riječ o značajnom pilotu usmjerenom na izradu složene OPS dokumentacije, koji obuhvaća Studiju predizvedivosti, Studiju izvedivosti i Annex Idejnog rješenja za integrirani sustav OPS-a i punionica, dinamika trošenja sredstava nužno je vezana uz dovršetak pripreme nabavne i tehničke osnove te odabir izvršitelja, a ne uz formalnu potrebu ubrzanog financijskog izvršenja bez stvorenih provedbenih preduvjeta. Takav pristup osigurava da se projektna sredstva koriste svrhovito, tehnički opravdano i u skladu s pravilima programa, uz očuvanje pune primjenjivosti budućih isporuka za sljedeće faze projektiranja, investicijskog planiranja i kandidiranja na dodatne EU mehanizme financiranja.</w:t>
      </w:r>
    </w:p>
    <w:p w14:paraId="5A13F71D" w14:textId="77777777" w:rsidR="002452BB" w:rsidRDefault="00000000">
      <w:pPr>
        <w:pStyle w:val="Heading3"/>
      </w:pPr>
      <w:r>
        <w:rPr>
          <w:rFonts w:cs="Times New Roman"/>
        </w:rP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5782B43F" w14:textId="77777777">
        <w:trPr>
          <w:jc w:val="center"/>
        </w:trPr>
        <w:tc>
          <w:tcPr>
            <w:tcW w:w="1632" w:type="dxa"/>
            <w:shd w:val="clear" w:color="auto" w:fill="B5C0D8"/>
          </w:tcPr>
          <w:p w14:paraId="4AFC0B45" w14:textId="77777777" w:rsidR="002452BB" w:rsidRDefault="002452BB">
            <w:pPr>
              <w:pStyle w:val="CellHeader"/>
            </w:pPr>
          </w:p>
        </w:tc>
        <w:tc>
          <w:tcPr>
            <w:tcW w:w="2041" w:type="dxa"/>
            <w:shd w:val="clear" w:color="auto" w:fill="B5C0D8"/>
          </w:tcPr>
          <w:p w14:paraId="424939F2" w14:textId="77777777" w:rsidR="002452BB" w:rsidRDefault="00000000">
            <w:pPr>
              <w:pStyle w:val="CellHeader"/>
              <w:jc w:val="center"/>
            </w:pPr>
            <w:r>
              <w:rPr>
                <w:rFonts w:cs="Times New Roman"/>
              </w:rPr>
              <w:t>Izvršenje 2024. (eur)</w:t>
            </w:r>
          </w:p>
        </w:tc>
        <w:tc>
          <w:tcPr>
            <w:tcW w:w="2041" w:type="dxa"/>
            <w:shd w:val="clear" w:color="auto" w:fill="B5C0D8"/>
          </w:tcPr>
          <w:p w14:paraId="0E40D7A0" w14:textId="77777777" w:rsidR="002452BB" w:rsidRDefault="00000000">
            <w:pPr>
              <w:pStyle w:val="CellHeader"/>
              <w:jc w:val="center"/>
            </w:pPr>
            <w:r>
              <w:rPr>
                <w:rFonts w:cs="Times New Roman"/>
              </w:rPr>
              <w:t>Plan 2025. (eur)</w:t>
            </w:r>
          </w:p>
        </w:tc>
        <w:tc>
          <w:tcPr>
            <w:tcW w:w="2041" w:type="dxa"/>
            <w:shd w:val="clear" w:color="auto" w:fill="B5C0D8"/>
          </w:tcPr>
          <w:p w14:paraId="689CDF60" w14:textId="77777777" w:rsidR="002452BB" w:rsidRDefault="00000000">
            <w:pPr>
              <w:pStyle w:val="CellHeader"/>
              <w:jc w:val="center"/>
            </w:pPr>
            <w:r>
              <w:rPr>
                <w:rFonts w:cs="Times New Roman"/>
              </w:rPr>
              <w:t>Izvršenje 2025. (eur)</w:t>
            </w:r>
          </w:p>
        </w:tc>
        <w:tc>
          <w:tcPr>
            <w:tcW w:w="1224" w:type="dxa"/>
            <w:shd w:val="clear" w:color="auto" w:fill="B5C0D8"/>
          </w:tcPr>
          <w:p w14:paraId="6532664D" w14:textId="77777777" w:rsidR="002452BB" w:rsidRDefault="00000000">
            <w:pPr>
              <w:pStyle w:val="CellHeader"/>
              <w:jc w:val="center"/>
            </w:pPr>
            <w:r>
              <w:rPr>
                <w:rFonts w:cs="Times New Roman"/>
              </w:rPr>
              <w:t>Indeks izvršenje 2025./plan 2025.</w:t>
            </w:r>
          </w:p>
        </w:tc>
        <w:tc>
          <w:tcPr>
            <w:tcW w:w="1224" w:type="dxa"/>
            <w:shd w:val="clear" w:color="auto" w:fill="B5C0D8"/>
          </w:tcPr>
          <w:p w14:paraId="598B7E8C" w14:textId="77777777" w:rsidR="002452BB" w:rsidRDefault="00000000">
            <w:pPr>
              <w:pStyle w:val="CellHeader"/>
              <w:jc w:val="center"/>
            </w:pPr>
            <w:r>
              <w:rPr>
                <w:rFonts w:cs="Times New Roman"/>
              </w:rPr>
              <w:t>Index izvršenje 2025./2024.</w:t>
            </w:r>
          </w:p>
        </w:tc>
      </w:tr>
      <w:tr w:rsidR="002452BB" w14:paraId="55C571DE" w14:textId="77777777">
        <w:trPr>
          <w:jc w:val="center"/>
        </w:trPr>
        <w:tc>
          <w:tcPr>
            <w:tcW w:w="1632" w:type="dxa"/>
          </w:tcPr>
          <w:p w14:paraId="4C49CA99" w14:textId="77777777" w:rsidR="002452BB" w:rsidRDefault="00000000">
            <w:pPr>
              <w:pStyle w:val="CellColumn"/>
              <w:jc w:val="left"/>
            </w:pPr>
            <w:r>
              <w:rPr>
                <w:rFonts w:cs="Times New Roman"/>
              </w:rPr>
              <w:t>3116-RAZVOJ SUSTAVA POMORSKOG PROMETA, POMORSKOG DOBRA I LUKA, TE ZAŠTITA OKOLIŠA OD ONEČIŠĆENJA S POMORSKIH OBJEKATA</w:t>
            </w:r>
          </w:p>
        </w:tc>
        <w:tc>
          <w:tcPr>
            <w:tcW w:w="2041" w:type="dxa"/>
          </w:tcPr>
          <w:p w14:paraId="45EE3722" w14:textId="77777777" w:rsidR="002452BB" w:rsidRDefault="00000000">
            <w:pPr>
              <w:pStyle w:val="CellColumn"/>
              <w:jc w:val="right"/>
            </w:pPr>
            <w:r>
              <w:rPr>
                <w:rFonts w:cs="Times New Roman"/>
              </w:rPr>
              <w:t>9.222.469</w:t>
            </w:r>
          </w:p>
        </w:tc>
        <w:tc>
          <w:tcPr>
            <w:tcW w:w="2041" w:type="dxa"/>
          </w:tcPr>
          <w:p w14:paraId="5EC5EE3D" w14:textId="77777777" w:rsidR="002452BB" w:rsidRDefault="00000000">
            <w:pPr>
              <w:pStyle w:val="CellColumn"/>
              <w:jc w:val="right"/>
            </w:pPr>
            <w:r>
              <w:rPr>
                <w:rFonts w:cs="Times New Roman"/>
              </w:rPr>
              <w:t>15.589.014</w:t>
            </w:r>
          </w:p>
        </w:tc>
        <w:tc>
          <w:tcPr>
            <w:tcW w:w="2041" w:type="dxa"/>
          </w:tcPr>
          <w:p w14:paraId="6A5180A9" w14:textId="77777777" w:rsidR="002452BB" w:rsidRDefault="00000000">
            <w:pPr>
              <w:pStyle w:val="CellColumn"/>
              <w:jc w:val="right"/>
            </w:pPr>
            <w:r>
              <w:rPr>
                <w:rFonts w:cs="Times New Roman"/>
              </w:rPr>
              <w:t>15.554.558</w:t>
            </w:r>
          </w:p>
        </w:tc>
        <w:tc>
          <w:tcPr>
            <w:tcW w:w="1224" w:type="dxa"/>
          </w:tcPr>
          <w:p w14:paraId="53C1BFD1" w14:textId="77777777" w:rsidR="002452BB" w:rsidRDefault="00000000">
            <w:pPr>
              <w:pStyle w:val="CellColumn"/>
              <w:jc w:val="right"/>
            </w:pPr>
            <w:r>
              <w:rPr>
                <w:rFonts w:cs="Times New Roman"/>
              </w:rPr>
              <w:t>99,8</w:t>
            </w:r>
          </w:p>
        </w:tc>
        <w:tc>
          <w:tcPr>
            <w:tcW w:w="1224" w:type="dxa"/>
          </w:tcPr>
          <w:p w14:paraId="4AE88865" w14:textId="77777777" w:rsidR="002452BB" w:rsidRDefault="00000000">
            <w:pPr>
              <w:pStyle w:val="CellColumn"/>
              <w:jc w:val="right"/>
            </w:pPr>
            <w:r>
              <w:rPr>
                <w:rFonts w:cs="Times New Roman"/>
              </w:rPr>
              <w:t>168,7</w:t>
            </w:r>
          </w:p>
        </w:tc>
      </w:tr>
    </w:tbl>
    <w:p w14:paraId="12AE3010" w14:textId="77777777" w:rsidR="002452BB" w:rsidRDefault="002452BB">
      <w:pPr>
        <w:jc w:val="left"/>
      </w:pPr>
    </w:p>
    <w:p w14:paraId="3F768432" w14:textId="77777777" w:rsidR="002452BB" w:rsidRDefault="00000000">
      <w:pPr>
        <w:pStyle w:val="Heading8"/>
        <w:jc w:val="left"/>
      </w:pPr>
      <w:r>
        <w:t>Cilj 1. Unaprijediti sustav pomorskog prometa te učinkovito i sustavno upravljati pomorskim dobrom</w:t>
      </w:r>
    </w:p>
    <w:p w14:paraId="40BA3659" w14:textId="77777777" w:rsidR="002452BB" w:rsidRDefault="00000000">
      <w:pPr>
        <w:pStyle w:val="Heading8"/>
        <w:jc w:val="left"/>
      </w:pPr>
      <w:r>
        <w:t>Opis provedbe cilja programa</w:t>
      </w:r>
    </w:p>
    <w:p w14:paraId="42C3D969" w14:textId="77777777" w:rsidR="002452BB" w:rsidRDefault="00000000">
      <w:r>
        <w:t>Praćenje i unaprijeđenje pomorskog prometa u cilju ostvarenja što boljih rezultata, ostvaruje se praćenjem prometa   prometa putnika,vozila i brodova. Upravljanje pomorskim dobrom se očituje ulaganjem u nove investicije i investicijsko održavanje.</w:t>
      </w:r>
    </w:p>
    <w:p w14:paraId="6E786C41" w14:textId="77777777" w:rsidR="002452BB"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535"/>
        <w:gridCol w:w="2537"/>
        <w:gridCol w:w="1059"/>
        <w:gridCol w:w="1019"/>
        <w:gridCol w:w="1018"/>
        <w:gridCol w:w="1019"/>
        <w:gridCol w:w="1019"/>
      </w:tblGrid>
      <w:tr w:rsidR="002452BB" w14:paraId="50E6AFA0" w14:textId="77777777">
        <w:trPr>
          <w:jc w:val="center"/>
        </w:trPr>
        <w:tc>
          <w:tcPr>
            <w:tcW w:w="2551" w:type="dxa"/>
            <w:shd w:val="clear" w:color="auto" w:fill="B5C0D8"/>
          </w:tcPr>
          <w:p w14:paraId="1CDDF506" w14:textId="77777777" w:rsidR="002452BB" w:rsidRDefault="00000000">
            <w:pPr>
              <w:jc w:val="center"/>
            </w:pPr>
            <w:r>
              <w:t>Pokazatelj učinka</w:t>
            </w:r>
          </w:p>
        </w:tc>
        <w:tc>
          <w:tcPr>
            <w:tcW w:w="2551" w:type="dxa"/>
            <w:shd w:val="clear" w:color="auto" w:fill="B5C0D8"/>
          </w:tcPr>
          <w:p w14:paraId="0A0DA0F4" w14:textId="77777777" w:rsidR="002452BB" w:rsidRDefault="00000000">
            <w:pPr>
              <w:pStyle w:val="CellHeader"/>
              <w:jc w:val="center"/>
            </w:pPr>
            <w:r>
              <w:rPr>
                <w:rFonts w:cs="Times New Roman"/>
              </w:rPr>
              <w:t>Definicija</w:t>
            </w:r>
          </w:p>
        </w:tc>
        <w:tc>
          <w:tcPr>
            <w:tcW w:w="1020" w:type="dxa"/>
            <w:shd w:val="clear" w:color="auto" w:fill="B5C0D8"/>
          </w:tcPr>
          <w:p w14:paraId="47E465D7" w14:textId="77777777" w:rsidR="002452BB" w:rsidRDefault="00000000">
            <w:pPr>
              <w:pStyle w:val="CellHeader"/>
              <w:jc w:val="center"/>
            </w:pPr>
            <w:r>
              <w:rPr>
                <w:rFonts w:cs="Times New Roman"/>
              </w:rPr>
              <w:t>Jedinica</w:t>
            </w:r>
          </w:p>
        </w:tc>
        <w:tc>
          <w:tcPr>
            <w:tcW w:w="1020" w:type="dxa"/>
            <w:shd w:val="clear" w:color="auto" w:fill="B5C0D8"/>
          </w:tcPr>
          <w:p w14:paraId="2023C199" w14:textId="77777777" w:rsidR="002452BB" w:rsidRDefault="00000000">
            <w:pPr>
              <w:pStyle w:val="CellHeader"/>
              <w:jc w:val="center"/>
            </w:pPr>
            <w:r>
              <w:rPr>
                <w:rFonts w:cs="Times New Roman"/>
              </w:rPr>
              <w:t>Polazna vrijednost</w:t>
            </w:r>
          </w:p>
        </w:tc>
        <w:tc>
          <w:tcPr>
            <w:tcW w:w="1020" w:type="dxa"/>
            <w:shd w:val="clear" w:color="auto" w:fill="B5C0D8"/>
          </w:tcPr>
          <w:p w14:paraId="16C6D1EB" w14:textId="77777777" w:rsidR="002452BB" w:rsidRDefault="00000000">
            <w:pPr>
              <w:pStyle w:val="CellHeader"/>
              <w:jc w:val="center"/>
            </w:pPr>
            <w:r>
              <w:rPr>
                <w:rFonts w:cs="Times New Roman"/>
              </w:rPr>
              <w:t>Izvor podataka</w:t>
            </w:r>
          </w:p>
        </w:tc>
        <w:tc>
          <w:tcPr>
            <w:tcW w:w="1020" w:type="dxa"/>
            <w:shd w:val="clear" w:color="auto" w:fill="B5C0D8"/>
          </w:tcPr>
          <w:p w14:paraId="646FD4D9" w14:textId="77777777" w:rsidR="002452BB" w:rsidRDefault="00000000">
            <w:pPr>
              <w:pStyle w:val="CellHeader"/>
              <w:jc w:val="center"/>
            </w:pPr>
            <w:r>
              <w:rPr>
                <w:rFonts w:cs="Times New Roman"/>
              </w:rPr>
              <w:t>Ciljana vrijednost (2025.)</w:t>
            </w:r>
          </w:p>
        </w:tc>
        <w:tc>
          <w:tcPr>
            <w:tcW w:w="1020" w:type="dxa"/>
            <w:shd w:val="clear" w:color="auto" w:fill="B5C0D8"/>
          </w:tcPr>
          <w:p w14:paraId="314576AE" w14:textId="77777777" w:rsidR="002452BB" w:rsidRDefault="00000000">
            <w:pPr>
              <w:pStyle w:val="CellHeader"/>
              <w:jc w:val="center"/>
            </w:pPr>
            <w:r>
              <w:rPr>
                <w:rFonts w:cs="Times New Roman"/>
              </w:rPr>
              <w:t>Ostvarena vrijednost (2025.)</w:t>
            </w:r>
          </w:p>
        </w:tc>
      </w:tr>
      <w:tr w:rsidR="002452BB" w14:paraId="638435DF" w14:textId="77777777">
        <w:trPr>
          <w:jc w:val="center"/>
        </w:trPr>
        <w:tc>
          <w:tcPr>
            <w:tcW w:w="2551" w:type="dxa"/>
          </w:tcPr>
          <w:p w14:paraId="3CEC72BA" w14:textId="77777777" w:rsidR="002452BB" w:rsidRDefault="00000000">
            <w:pPr>
              <w:pStyle w:val="CellColumn"/>
              <w:jc w:val="left"/>
            </w:pPr>
            <w:r>
              <w:rPr>
                <w:rFonts w:cs="Times New Roman"/>
              </w:rPr>
              <w:t>Povećanje prometa putnika</w:t>
            </w:r>
          </w:p>
        </w:tc>
        <w:tc>
          <w:tcPr>
            <w:tcW w:w="2551" w:type="dxa"/>
          </w:tcPr>
          <w:p w14:paraId="55FA2F19" w14:textId="77777777" w:rsidR="002452BB" w:rsidRDefault="00000000">
            <w:pPr>
              <w:pStyle w:val="CellColumn"/>
              <w:jc w:val="left"/>
            </w:pPr>
            <w:r>
              <w:rPr>
                <w:rFonts w:cs="Times New Roman"/>
              </w:rPr>
              <w:t>Održivost konstantnog rasta prometa i kvalitete pružanja lučkih usluga.</w:t>
            </w:r>
          </w:p>
        </w:tc>
        <w:tc>
          <w:tcPr>
            <w:tcW w:w="1020" w:type="dxa"/>
          </w:tcPr>
          <w:p w14:paraId="79EDB0A3" w14:textId="77777777" w:rsidR="002452BB" w:rsidRDefault="00000000">
            <w:pPr>
              <w:pStyle w:val="CellColumn"/>
              <w:jc w:val="right"/>
            </w:pPr>
            <w:r>
              <w:rPr>
                <w:rFonts w:cs="Times New Roman"/>
              </w:rPr>
              <w:t>broj (u milijunima)</w:t>
            </w:r>
          </w:p>
        </w:tc>
        <w:tc>
          <w:tcPr>
            <w:tcW w:w="1020" w:type="dxa"/>
          </w:tcPr>
          <w:p w14:paraId="2E9E6643" w14:textId="77777777" w:rsidR="002452BB" w:rsidRDefault="00000000">
            <w:pPr>
              <w:pStyle w:val="CellColumn"/>
              <w:jc w:val="right"/>
            </w:pPr>
            <w:r>
              <w:rPr>
                <w:rFonts w:cs="Times New Roman"/>
              </w:rPr>
              <w:t>4,7</w:t>
            </w:r>
          </w:p>
        </w:tc>
        <w:tc>
          <w:tcPr>
            <w:tcW w:w="918" w:type="dxa"/>
          </w:tcPr>
          <w:p w14:paraId="0DC5D45C" w14:textId="77777777" w:rsidR="002452BB" w:rsidRDefault="00000000">
            <w:pPr>
              <w:pStyle w:val="CellColumn"/>
              <w:jc w:val="right"/>
            </w:pPr>
            <w:r>
              <w:rPr>
                <w:rFonts w:cs="Times New Roman"/>
              </w:rPr>
              <w:t>Lučka uprava Split</w:t>
            </w:r>
          </w:p>
        </w:tc>
        <w:tc>
          <w:tcPr>
            <w:tcW w:w="1020" w:type="dxa"/>
          </w:tcPr>
          <w:p w14:paraId="797093DA" w14:textId="77777777" w:rsidR="002452BB" w:rsidRDefault="00000000">
            <w:pPr>
              <w:pStyle w:val="CellColumn"/>
              <w:jc w:val="right"/>
            </w:pPr>
            <w:r>
              <w:rPr>
                <w:rFonts w:cs="Times New Roman"/>
              </w:rPr>
              <w:t>6,1</w:t>
            </w:r>
          </w:p>
        </w:tc>
        <w:tc>
          <w:tcPr>
            <w:tcW w:w="1020" w:type="dxa"/>
          </w:tcPr>
          <w:p w14:paraId="6EE50881" w14:textId="77777777" w:rsidR="002452BB" w:rsidRDefault="00000000">
            <w:pPr>
              <w:pStyle w:val="CellColumn"/>
              <w:jc w:val="right"/>
            </w:pPr>
            <w:r>
              <w:rPr>
                <w:rFonts w:cs="Times New Roman"/>
              </w:rPr>
              <w:t>6,02</w:t>
            </w:r>
          </w:p>
        </w:tc>
      </w:tr>
    </w:tbl>
    <w:p w14:paraId="62139356" w14:textId="77777777" w:rsidR="002452BB" w:rsidRDefault="002452BB">
      <w:pPr>
        <w:jc w:val="left"/>
      </w:pPr>
    </w:p>
    <w:p w14:paraId="24083697" w14:textId="77777777" w:rsidR="002452BB" w:rsidRDefault="00000000">
      <w:pPr>
        <w:pStyle w:val="Heading4"/>
      </w:pPr>
      <w:r>
        <w:lastRenderedPageBreak/>
        <w:t>A754070 ADMINISTRACIJA I UPRAVLJANJE</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2452BB" w14:paraId="255D7623" w14:textId="77777777">
        <w:trPr>
          <w:jc w:val="center"/>
        </w:trPr>
        <w:tc>
          <w:tcPr>
            <w:tcW w:w="1632" w:type="dxa"/>
            <w:shd w:val="clear" w:color="auto" w:fill="B5C0D8"/>
          </w:tcPr>
          <w:p w14:paraId="6A230B5B" w14:textId="77777777" w:rsidR="002452BB" w:rsidRDefault="00000000">
            <w:pPr>
              <w:pStyle w:val="CellHeader"/>
              <w:jc w:val="center"/>
            </w:pPr>
            <w:r>
              <w:rPr>
                <w:rFonts w:cs="Times New Roman"/>
              </w:rPr>
              <w:t>Naziv aktivnosti</w:t>
            </w:r>
          </w:p>
        </w:tc>
        <w:tc>
          <w:tcPr>
            <w:tcW w:w="2041" w:type="dxa"/>
            <w:shd w:val="clear" w:color="auto" w:fill="B5C0D8"/>
          </w:tcPr>
          <w:p w14:paraId="5D778D5B" w14:textId="77777777" w:rsidR="002452BB" w:rsidRDefault="00000000">
            <w:pPr>
              <w:pStyle w:val="CellHeader"/>
              <w:jc w:val="center"/>
            </w:pPr>
            <w:r>
              <w:rPr>
                <w:rFonts w:cs="Times New Roman"/>
              </w:rPr>
              <w:t>Izvršenje 2024. (eur)</w:t>
            </w:r>
          </w:p>
        </w:tc>
        <w:tc>
          <w:tcPr>
            <w:tcW w:w="2041" w:type="dxa"/>
            <w:shd w:val="clear" w:color="auto" w:fill="B5C0D8"/>
          </w:tcPr>
          <w:p w14:paraId="4E76BA18" w14:textId="77777777" w:rsidR="002452BB" w:rsidRDefault="00000000">
            <w:pPr>
              <w:pStyle w:val="CellHeader"/>
              <w:jc w:val="center"/>
            </w:pPr>
            <w:r>
              <w:rPr>
                <w:rFonts w:cs="Times New Roman"/>
              </w:rPr>
              <w:t>Plan 2025. (eur)</w:t>
            </w:r>
          </w:p>
        </w:tc>
        <w:tc>
          <w:tcPr>
            <w:tcW w:w="2041" w:type="dxa"/>
            <w:shd w:val="clear" w:color="auto" w:fill="B5C0D8"/>
          </w:tcPr>
          <w:p w14:paraId="3BCE02FC" w14:textId="77777777" w:rsidR="002452BB" w:rsidRDefault="00000000">
            <w:pPr>
              <w:pStyle w:val="CellHeader"/>
              <w:jc w:val="center"/>
            </w:pPr>
            <w:r>
              <w:rPr>
                <w:rFonts w:cs="Times New Roman"/>
              </w:rPr>
              <w:t>Izvršenje 2025. (eur)</w:t>
            </w:r>
          </w:p>
        </w:tc>
        <w:tc>
          <w:tcPr>
            <w:tcW w:w="1224" w:type="dxa"/>
            <w:shd w:val="clear" w:color="auto" w:fill="B5C0D8"/>
          </w:tcPr>
          <w:p w14:paraId="69555656" w14:textId="77777777" w:rsidR="002452BB" w:rsidRDefault="00000000">
            <w:pPr>
              <w:pStyle w:val="CellHeader"/>
              <w:jc w:val="center"/>
            </w:pPr>
            <w:r>
              <w:rPr>
                <w:rFonts w:cs="Times New Roman"/>
              </w:rPr>
              <w:t>Indeks izvršenje 2025./plan 2025.</w:t>
            </w:r>
          </w:p>
        </w:tc>
        <w:tc>
          <w:tcPr>
            <w:tcW w:w="1224" w:type="dxa"/>
            <w:shd w:val="clear" w:color="auto" w:fill="B5C0D8"/>
          </w:tcPr>
          <w:p w14:paraId="09DE0473" w14:textId="77777777" w:rsidR="002452BB" w:rsidRDefault="00000000">
            <w:pPr>
              <w:pStyle w:val="CellHeader"/>
              <w:jc w:val="center"/>
            </w:pPr>
            <w:r>
              <w:rPr>
                <w:rFonts w:cs="Times New Roman"/>
              </w:rPr>
              <w:t>Indeks izvršenje 2025./2024.</w:t>
            </w:r>
          </w:p>
        </w:tc>
      </w:tr>
      <w:tr w:rsidR="002452BB" w14:paraId="2928995D" w14:textId="77777777">
        <w:trPr>
          <w:jc w:val="center"/>
        </w:trPr>
        <w:tc>
          <w:tcPr>
            <w:tcW w:w="1632" w:type="dxa"/>
          </w:tcPr>
          <w:p w14:paraId="0D89E5B3" w14:textId="77777777" w:rsidR="002452BB" w:rsidRDefault="00000000">
            <w:pPr>
              <w:pStyle w:val="CellColumn"/>
              <w:jc w:val="left"/>
            </w:pPr>
            <w:r>
              <w:rPr>
                <w:rFonts w:cs="Times New Roman"/>
              </w:rPr>
              <w:t>A754070-ADMINISTRACIJA I UPRAVLJANJE</w:t>
            </w:r>
          </w:p>
        </w:tc>
        <w:tc>
          <w:tcPr>
            <w:tcW w:w="2041" w:type="dxa"/>
          </w:tcPr>
          <w:p w14:paraId="7E3DB45A" w14:textId="77777777" w:rsidR="002452BB" w:rsidRDefault="00000000">
            <w:pPr>
              <w:pStyle w:val="CellColumn"/>
              <w:jc w:val="right"/>
            </w:pPr>
            <w:r>
              <w:rPr>
                <w:rFonts w:cs="Times New Roman"/>
              </w:rPr>
              <w:t>3.462.537</w:t>
            </w:r>
          </w:p>
        </w:tc>
        <w:tc>
          <w:tcPr>
            <w:tcW w:w="2041" w:type="dxa"/>
          </w:tcPr>
          <w:p w14:paraId="203CE6F8" w14:textId="77777777" w:rsidR="002452BB" w:rsidRDefault="00000000">
            <w:pPr>
              <w:pStyle w:val="CellColumn"/>
              <w:jc w:val="right"/>
            </w:pPr>
            <w:r>
              <w:rPr>
                <w:rFonts w:cs="Times New Roman"/>
              </w:rPr>
              <w:t>4.385.661</w:t>
            </w:r>
          </w:p>
        </w:tc>
        <w:tc>
          <w:tcPr>
            <w:tcW w:w="2041" w:type="dxa"/>
          </w:tcPr>
          <w:p w14:paraId="5B757EC0" w14:textId="77777777" w:rsidR="002452BB" w:rsidRDefault="00000000">
            <w:pPr>
              <w:pStyle w:val="CellColumn"/>
              <w:jc w:val="right"/>
            </w:pPr>
            <w:r>
              <w:rPr>
                <w:rFonts w:cs="Times New Roman"/>
              </w:rPr>
              <w:t>3.943.745</w:t>
            </w:r>
          </w:p>
        </w:tc>
        <w:tc>
          <w:tcPr>
            <w:tcW w:w="1224" w:type="dxa"/>
          </w:tcPr>
          <w:p w14:paraId="458C709A" w14:textId="77777777" w:rsidR="002452BB" w:rsidRDefault="00000000">
            <w:pPr>
              <w:pStyle w:val="CellColumn"/>
              <w:jc w:val="right"/>
            </w:pPr>
            <w:r>
              <w:rPr>
                <w:rFonts w:cs="Times New Roman"/>
              </w:rPr>
              <w:t>89,9</w:t>
            </w:r>
          </w:p>
        </w:tc>
        <w:tc>
          <w:tcPr>
            <w:tcW w:w="1224" w:type="dxa"/>
          </w:tcPr>
          <w:p w14:paraId="37C8B084" w14:textId="77777777" w:rsidR="002452BB" w:rsidRDefault="00000000">
            <w:pPr>
              <w:pStyle w:val="CellColumn"/>
              <w:jc w:val="right"/>
            </w:pPr>
            <w:r>
              <w:rPr>
                <w:rFonts w:cs="Times New Roman"/>
              </w:rPr>
              <w:t>113,9</w:t>
            </w:r>
          </w:p>
        </w:tc>
      </w:tr>
    </w:tbl>
    <w:p w14:paraId="15903D5C" w14:textId="77777777" w:rsidR="002452BB" w:rsidRDefault="002452BB">
      <w:pPr>
        <w:jc w:val="left"/>
      </w:pPr>
    </w:p>
    <w:p w14:paraId="598EAB37" w14:textId="77777777" w:rsidR="002452BB" w:rsidRDefault="00000000">
      <w:pPr>
        <w:pStyle w:val="Heading8"/>
        <w:jc w:val="left"/>
      </w:pPr>
      <w:r>
        <w:t>Zakonske i druge pravne osnove</w:t>
      </w:r>
    </w:p>
    <w:p w14:paraId="514B510B" w14:textId="77777777" w:rsidR="002452BB" w:rsidRDefault="00000000">
      <w:r>
        <w:t xml:space="preserve">- Zakon o pomorskom dobru i morskim lukama NN 83/2023 </w:t>
      </w:r>
    </w:p>
    <w:p w14:paraId="5170FAB2" w14:textId="77777777" w:rsidR="002452BB" w:rsidRDefault="00000000">
      <w:r>
        <w:t xml:space="preserve">- Uredba o osnivanju od 27.02.2025. (NN 36/2025)  </w:t>
      </w:r>
    </w:p>
    <w:p w14:paraId="764E677C" w14:textId="77777777" w:rsidR="002452BB" w:rsidRDefault="00000000">
      <w:r>
        <w:t>- Statut Lučke uprave Split od 24.07.1997., s izmjenama</w:t>
      </w:r>
    </w:p>
    <w:p w14:paraId="38E504AC" w14:textId="77777777" w:rsidR="002452BB" w:rsidRDefault="00000000">
      <w:pPr>
        <w:pStyle w:val="Heading8"/>
        <w:jc w:val="left"/>
      </w:pPr>
      <w:r>
        <w:t>Opis aktivnosti</w:t>
      </w:r>
    </w:p>
    <w:p w14:paraId="6CD12669" w14:textId="357E207A" w:rsidR="002452BB" w:rsidRDefault="00000000">
      <w:r>
        <w:t xml:space="preserve">Rashodi na predmetnoj aktivnosti se u cijelosti financiraju iz namjenskih prihoda Lučke uprave Split. </w:t>
      </w:r>
    </w:p>
    <w:p w14:paraId="2EBB8C99" w14:textId="77777777" w:rsidR="002452BB" w:rsidRDefault="00000000">
      <w:r>
        <w:t>U 2025. godini rashodi se na ovoj aktivnosti sastoje od troškova 49 zaposlenih radnika,koji uključuje plaće, naknade i troškove doprinosa za obvezna osiguranja i čine 53%  ukupno planiranih rashoda na ovoj aktivnosti. Materijalni rashodi sudjeluju 43%, a odnose se na nabavku uredskog materijala, režijske troškove, intelektualne i osobne usluge, troškovi naknade za rad članova Upravnog vijeća, a najveća stavka se odnosi na ostale usluge; čišćenja i pranja ,usluge čuvanja i sigurnosti luke. Najveća odstupanja u neizvršenju plana se odnose na kapitalna ulaganja, jer nije izvršena nabava uredske opreme i namještaja , kao ni komunikacijske opreme  za prostore u zgradi Pomorsko putničkog terminala (PPT) koji  nisu bili  do sada korišteni od strane Lučke uprave, a namjeravani su za opremanje i uređenje. Opremanje je uglavnom obavljeno, a troškovi su nešto manji od planiranih. Troškovi su povećani u odnosu na prethodnu godinu za 13,9% , ali su u planu za 2025. godinu i predviđeni.  Zaposlena su tri nova radnika te je evidentiran prekovremeni rad radnika u operativnom centru i odjelu za zaštitu i sigurnost, zbog povećanog smjesnkog rada. Ostali troškovi su znatno povećani jer je opseg usluga povećan, a zbog inflacije cijene svih usluga su veće.</w:t>
      </w:r>
    </w:p>
    <w:p w14:paraId="6C0D8632" w14:textId="77777777" w:rsidR="002452BB" w:rsidRDefault="00000000">
      <w:pPr>
        <w:pStyle w:val="Heading4"/>
      </w:pPr>
      <w:r>
        <w:t>A754071 GRADNJA I ODRŽAVANJE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149B7942" w14:textId="77777777">
        <w:trPr>
          <w:jc w:val="center"/>
        </w:trPr>
        <w:tc>
          <w:tcPr>
            <w:tcW w:w="1632" w:type="dxa"/>
            <w:shd w:val="clear" w:color="auto" w:fill="B5C0D8"/>
          </w:tcPr>
          <w:p w14:paraId="5DE22A58" w14:textId="77777777" w:rsidR="002452BB" w:rsidRDefault="00000000">
            <w:pPr>
              <w:pStyle w:val="CellHeader"/>
              <w:jc w:val="center"/>
            </w:pPr>
            <w:r>
              <w:rPr>
                <w:rFonts w:cs="Times New Roman"/>
              </w:rPr>
              <w:t>Naziv aktivnosti</w:t>
            </w:r>
          </w:p>
        </w:tc>
        <w:tc>
          <w:tcPr>
            <w:tcW w:w="2041" w:type="dxa"/>
            <w:shd w:val="clear" w:color="auto" w:fill="B5C0D8"/>
          </w:tcPr>
          <w:p w14:paraId="487F4750" w14:textId="77777777" w:rsidR="002452BB" w:rsidRDefault="00000000">
            <w:pPr>
              <w:pStyle w:val="CellHeader"/>
              <w:jc w:val="center"/>
            </w:pPr>
            <w:r>
              <w:rPr>
                <w:rFonts w:cs="Times New Roman"/>
              </w:rPr>
              <w:t>Izvršenje 2024. (eur)</w:t>
            </w:r>
          </w:p>
        </w:tc>
        <w:tc>
          <w:tcPr>
            <w:tcW w:w="2041" w:type="dxa"/>
            <w:shd w:val="clear" w:color="auto" w:fill="B5C0D8"/>
          </w:tcPr>
          <w:p w14:paraId="55DF9DA1" w14:textId="77777777" w:rsidR="002452BB" w:rsidRDefault="00000000">
            <w:pPr>
              <w:pStyle w:val="CellHeader"/>
              <w:jc w:val="center"/>
            </w:pPr>
            <w:r>
              <w:rPr>
                <w:rFonts w:cs="Times New Roman"/>
              </w:rPr>
              <w:t>Plan 2025. (eur)</w:t>
            </w:r>
          </w:p>
        </w:tc>
        <w:tc>
          <w:tcPr>
            <w:tcW w:w="2041" w:type="dxa"/>
            <w:shd w:val="clear" w:color="auto" w:fill="B5C0D8"/>
          </w:tcPr>
          <w:p w14:paraId="7EAF13F5" w14:textId="77777777" w:rsidR="002452BB" w:rsidRDefault="00000000">
            <w:pPr>
              <w:pStyle w:val="CellHeader"/>
              <w:jc w:val="center"/>
            </w:pPr>
            <w:r>
              <w:rPr>
                <w:rFonts w:cs="Times New Roman"/>
              </w:rPr>
              <w:t>Izvršenje 2025. (eur)</w:t>
            </w:r>
          </w:p>
        </w:tc>
        <w:tc>
          <w:tcPr>
            <w:tcW w:w="1224" w:type="dxa"/>
            <w:shd w:val="clear" w:color="auto" w:fill="B5C0D8"/>
          </w:tcPr>
          <w:p w14:paraId="1D9DA27B" w14:textId="77777777" w:rsidR="002452BB" w:rsidRDefault="00000000">
            <w:pPr>
              <w:pStyle w:val="CellHeader"/>
              <w:jc w:val="center"/>
            </w:pPr>
            <w:r>
              <w:rPr>
                <w:rFonts w:cs="Times New Roman"/>
              </w:rPr>
              <w:t>Indeks izvršenje 2025./plan 2025.</w:t>
            </w:r>
          </w:p>
        </w:tc>
        <w:tc>
          <w:tcPr>
            <w:tcW w:w="1224" w:type="dxa"/>
            <w:shd w:val="clear" w:color="auto" w:fill="B5C0D8"/>
          </w:tcPr>
          <w:p w14:paraId="436F018E" w14:textId="77777777" w:rsidR="002452BB" w:rsidRDefault="00000000">
            <w:pPr>
              <w:pStyle w:val="CellHeader"/>
              <w:jc w:val="center"/>
            </w:pPr>
            <w:r>
              <w:rPr>
                <w:rFonts w:cs="Times New Roman"/>
              </w:rPr>
              <w:t>Indeks izvršenje 2025./2024.</w:t>
            </w:r>
          </w:p>
        </w:tc>
      </w:tr>
      <w:tr w:rsidR="002452BB" w14:paraId="76FE7385" w14:textId="77777777">
        <w:trPr>
          <w:jc w:val="center"/>
        </w:trPr>
        <w:tc>
          <w:tcPr>
            <w:tcW w:w="1632" w:type="dxa"/>
          </w:tcPr>
          <w:p w14:paraId="2B879632" w14:textId="77777777" w:rsidR="002452BB" w:rsidRDefault="00000000">
            <w:pPr>
              <w:pStyle w:val="CellColumn"/>
              <w:jc w:val="left"/>
            </w:pPr>
            <w:r>
              <w:rPr>
                <w:rFonts w:cs="Times New Roman"/>
              </w:rPr>
              <w:t>A754071-GRADNJA I ODRŽAVANJE</w:t>
            </w:r>
          </w:p>
        </w:tc>
        <w:tc>
          <w:tcPr>
            <w:tcW w:w="2041" w:type="dxa"/>
          </w:tcPr>
          <w:p w14:paraId="0B99BF01" w14:textId="77777777" w:rsidR="002452BB" w:rsidRDefault="00000000">
            <w:pPr>
              <w:pStyle w:val="CellColumn"/>
              <w:jc w:val="right"/>
            </w:pPr>
            <w:r>
              <w:rPr>
                <w:rFonts w:cs="Times New Roman"/>
              </w:rPr>
              <w:t>3.301.644</w:t>
            </w:r>
          </w:p>
        </w:tc>
        <w:tc>
          <w:tcPr>
            <w:tcW w:w="2041" w:type="dxa"/>
          </w:tcPr>
          <w:p w14:paraId="24413DBD" w14:textId="77777777" w:rsidR="002452BB" w:rsidRDefault="00000000">
            <w:pPr>
              <w:pStyle w:val="CellColumn"/>
              <w:jc w:val="right"/>
            </w:pPr>
            <w:r>
              <w:rPr>
                <w:rFonts w:cs="Times New Roman"/>
              </w:rPr>
              <w:t>4.297.540</w:t>
            </w:r>
          </w:p>
        </w:tc>
        <w:tc>
          <w:tcPr>
            <w:tcW w:w="2041" w:type="dxa"/>
          </w:tcPr>
          <w:p w14:paraId="75EA5439" w14:textId="77777777" w:rsidR="002452BB" w:rsidRDefault="00000000">
            <w:pPr>
              <w:pStyle w:val="CellColumn"/>
              <w:jc w:val="right"/>
            </w:pPr>
            <w:r>
              <w:rPr>
                <w:rFonts w:cs="Times New Roman"/>
              </w:rPr>
              <w:t>5.098.284</w:t>
            </w:r>
          </w:p>
        </w:tc>
        <w:tc>
          <w:tcPr>
            <w:tcW w:w="1224" w:type="dxa"/>
          </w:tcPr>
          <w:p w14:paraId="39AE035F" w14:textId="77777777" w:rsidR="002452BB" w:rsidRDefault="00000000">
            <w:pPr>
              <w:pStyle w:val="CellColumn"/>
              <w:jc w:val="right"/>
            </w:pPr>
            <w:r>
              <w:rPr>
                <w:rFonts w:cs="Times New Roman"/>
              </w:rPr>
              <w:t>118,6</w:t>
            </w:r>
          </w:p>
        </w:tc>
        <w:tc>
          <w:tcPr>
            <w:tcW w:w="1224" w:type="dxa"/>
          </w:tcPr>
          <w:p w14:paraId="63C4264E" w14:textId="77777777" w:rsidR="002452BB" w:rsidRDefault="00000000">
            <w:pPr>
              <w:pStyle w:val="CellColumn"/>
              <w:jc w:val="right"/>
            </w:pPr>
            <w:r>
              <w:rPr>
                <w:rFonts w:cs="Times New Roman"/>
              </w:rPr>
              <w:t>154,4</w:t>
            </w:r>
          </w:p>
        </w:tc>
      </w:tr>
    </w:tbl>
    <w:p w14:paraId="1AA2B8D1" w14:textId="77777777" w:rsidR="002452BB" w:rsidRDefault="002452BB">
      <w:pPr>
        <w:jc w:val="left"/>
      </w:pPr>
    </w:p>
    <w:p w14:paraId="6F98FB5F" w14:textId="77777777" w:rsidR="002452BB" w:rsidRDefault="00000000">
      <w:pPr>
        <w:pStyle w:val="Heading8"/>
        <w:jc w:val="left"/>
      </w:pPr>
      <w:r>
        <w:t>Zakonske i druge pravne osnove</w:t>
      </w:r>
    </w:p>
    <w:p w14:paraId="5AF0565C" w14:textId="77777777" w:rsidR="002452BB" w:rsidRDefault="00000000">
      <w:r>
        <w:t>- Zakon o pomorskom dobru i morskim lukama NN 83/2023</w:t>
      </w:r>
    </w:p>
    <w:p w14:paraId="512DE229" w14:textId="77777777" w:rsidR="002452BB" w:rsidRDefault="00000000">
      <w:pPr>
        <w:pStyle w:val="Heading8"/>
        <w:jc w:val="left"/>
      </w:pPr>
      <w:r>
        <w:t>Opis aktivnosti</w:t>
      </w:r>
    </w:p>
    <w:p w14:paraId="7D72D82A" w14:textId="3EA91146" w:rsidR="002452BB" w:rsidRDefault="00000000">
      <w:r>
        <w:t xml:space="preserve">Predmetna  aktivnost obuhvaća rashode koji se odnose na nove investicije i investicijsko održavanje financirane i preko 94% iz namjenskih prihoda Lučke uprave.Ukupna realizacija na ovoj aktivnosti je 18,6% veća u odnosu na plan.  </w:t>
      </w:r>
    </w:p>
    <w:p w14:paraId="3DD543D3" w14:textId="713D8B1E" w:rsidR="002452BB" w:rsidRDefault="00000000">
      <w:r>
        <w:t xml:space="preserve">Investicije se provode u razdoblju dužem od jedne godine, jer se radi o dugoročnim projektima, od kojih su neki započeti prethodnih godina i nastavljaju se u  razdoblju 2025. do 2027. godine. U 2025. godini su realizirana  ulaganja u iznosu od  1.862.436,54€ ili 91,39% . </w:t>
      </w:r>
    </w:p>
    <w:p w14:paraId="3997D6E9" w14:textId="77777777" w:rsidR="002452BB" w:rsidRDefault="00000000">
      <w:r>
        <w:t xml:space="preserve">Ulaganja u poslovne objekte iznose 192.594,63€, a najvećim dijelom se odnose na rekonstrukcju zgrade Pomorsko putničkog terminala u Gradskoj luci. Ulaganja u  kanale i luke iznose 1.415.480,01€. Najznačajnije investicije su Izvođenje radova na rekonstrukciji – zamjeni uzdužnog oborinskog cjevovoda južno od skladišta br. 5,4 i 3 unutar </w:t>
      </w:r>
      <w:r>
        <w:lastRenderedPageBreak/>
        <w:t xml:space="preserve">industrijskog kolosijeka – dionica 2 i 3, izvođača Livel d.o.o. u ukupnom iznosu od 576.116,99€. Ulaganja u opremu iznose 254.361,90€ </w:t>
      </w:r>
    </w:p>
    <w:p w14:paraId="111C79A5" w14:textId="77777777" w:rsidR="002452BB" w:rsidRDefault="00000000">
      <w:r>
        <w:t xml:space="preserve"> </w:t>
      </w:r>
    </w:p>
    <w:p w14:paraId="0C736FFC" w14:textId="77777777" w:rsidR="002452BB" w:rsidRDefault="00000000">
      <w:r>
        <w:t xml:space="preserve">Plan aktivnosti ulaganja u tekuće i investicijsko održavanje se donosi na godišnjoj razini i to u odnosu na  realizaciju prethodne godine.  </w:t>
      </w:r>
    </w:p>
    <w:p w14:paraId="439BBD23" w14:textId="77777777" w:rsidR="002452BB" w:rsidRDefault="00000000">
      <w:r>
        <w:t xml:space="preserve">Usluge  investicijskog održavanja su izvršene  u iznosu od 3.228.554,04€, odnosno 151%.  </w:t>
      </w:r>
    </w:p>
    <w:p w14:paraId="48B3B018" w14:textId="77777777" w:rsidR="002452BB" w:rsidRDefault="00000000">
      <w:r>
        <w:t xml:space="preserve">Realizacija aktivnosti je podijeljena prema bazenima lučkog područja,a navodimo samo najznačanije troškove </w:t>
      </w:r>
    </w:p>
    <w:p w14:paraId="30777464" w14:textId="77777777" w:rsidR="002452BB" w:rsidRDefault="00000000">
      <w:r>
        <w:t xml:space="preserve">Bazen Gradska luka: </w:t>
      </w:r>
    </w:p>
    <w:p w14:paraId="71B8FAD7" w14:textId="77777777" w:rsidR="002452BB" w:rsidRDefault="00000000">
      <w:r>
        <w:t xml:space="preserve">Sanacija oštećenja na nadmorskom obalnom zidu i brodobranima na vezu br. 17 u Gradskoj luci Split i Izvođenje radova na zaštiti od požara za zgradu „Ex Dalmacijavino“od strane izvođača radova Tinpal d.o.o. u iznosu od 164.492,95 € </w:t>
      </w:r>
    </w:p>
    <w:p w14:paraId="607BF421" w14:textId="77777777" w:rsidR="002452BB" w:rsidRDefault="00000000">
      <w:r>
        <w:t xml:space="preserve">Pomorska sanacija cjevovoda na vezu 26 u Gradskoj luci,Radovi na održavanju ventilacijskog sustava u zgradi PPT-a,Izvođenje radova na uređenju ureda Lučke uprave Split, Sanacija cjevovoda za zalijevanje zelenih površina na Obali kneza Domagoja I i II,Radovi na popravcima unutar zgrade PPT-a,Postavljanje nadstrešnice na istočnom ulazu na vanjske vezove u Gradskoj luci Split,Izvođenje radova na sanaciji podmorskog dijela obalnih zidova u Gradskoj luci Split,Izvođenje radova na sanaciji kamenih podova u zgradi PPT-a, Uređenje ureda Lučke uprave Split i sanitarnih čvorova,Sanacija metalne konstrukcije nosaca brisoleja te zamjena konzola za rasvjetu na zgradi PPT-a,Izvođenje radova na sanaciji podmorskog dijela obalnih zidova u Gradskoj luci Split, Sanacija operativnih površina u Gradskoj luci Split, Postavljanje pricvrsnih lanaca na brodobrane vez 26 te ostalih manjih popravaka  u Gradskoj luci Split izvođača Livel d.o.o. u iznosu od1.155.152,59€. </w:t>
      </w:r>
    </w:p>
    <w:p w14:paraId="0E5170BB" w14:textId="77777777" w:rsidR="002452BB" w:rsidRDefault="00000000">
      <w:r>
        <w:t xml:space="preserve">Izrada i postavljanje pomičnih fleksibilnih stupića za ograđivanje trajektnih rampi u Gradskoj luci Split od strane Feromontaža d.o.o. u iznosu od 24.687,50€, Izvanredno održavanje prometnih površina - parkiralište uz zgradu ex. "Dalmacijavino" od strane Tinpal d.o.o. u iznosu od  91.646,25€ </w:t>
      </w:r>
    </w:p>
    <w:p w14:paraId="71CDD503" w14:textId="15E2D1DF" w:rsidR="002452BB" w:rsidRDefault="00000000">
      <w:r>
        <w:t xml:space="preserve">Troškovi nastali uslijed havarije trajekta Jadrolinije d.d. u iznosu od 86.462,81€ </w:t>
      </w:r>
    </w:p>
    <w:p w14:paraId="28D8FF35" w14:textId="3A402BB5" w:rsidR="002452BB" w:rsidRDefault="00000000">
      <w:r>
        <w:t xml:space="preserve">Vranjičko solinski bazen  </w:t>
      </w:r>
    </w:p>
    <w:p w14:paraId="27C34F27" w14:textId="77777777" w:rsidR="002452BB" w:rsidRDefault="00000000">
      <w:r>
        <w:t xml:space="preserve">Izvođenje radova na sanaciji kanalskog sustava sa pripadajućim slivnicima i oknima na operativnoj površini veza br. 2 u Sjevernoj luci Split,Izvođenje radova na sanaciji AB postojećeg potpornog zida na parkingu u Sjevernoj luci Split,građevinske radove na sanaciji kolničke konstrukcije sjeverno od skladišta br.4 i 5 uz željezničke kolosjeke br 1 i 2 </w:t>
      </w:r>
    </w:p>
    <w:p w14:paraId="0AC0414F" w14:textId="77777777" w:rsidR="002452BB" w:rsidRDefault="00000000">
      <w:r>
        <w:t xml:space="preserve">u Sjevernoj luci Split,Izvođenje radova na sanaciji AB postojećeg potpornog zida na parkingu u Sjevernoj luci Split,Izvođenje radova na ugradnji separatora s prilagodbom dijela vanjskog oborinskog kanala i pripadajućeg  cjevovoda na JZ strani AB platoa na vezu br. 2, od strane Građevno zec d.o.o. u iznosu od 234.036,14€.Sanacija kolničke konstrukcije sjeveroistočno od servisnog skladišta uz lučku hladnjaču,od strane Livel d.o.o. Izrada projektne dokumentacije za sanaciju kolničke konstrukcije sjevernoistočno od servisnog skladišta uz lučku hladnjaču od strane Coming d.o.o.  </w:t>
      </w:r>
    </w:p>
    <w:p w14:paraId="75E43C8A" w14:textId="3B14B3FD" w:rsidR="002452BB" w:rsidRDefault="00000000">
      <w:r>
        <w:t xml:space="preserve">Izvođenje radova na sanaciji pokosa iza skladišta br.7 i pripadajućeg uređenja terena od strane Građevno zec d.o.o. u iznosu od 81.820,31€ </w:t>
      </w:r>
    </w:p>
    <w:p w14:paraId="4FF37C05" w14:textId="77777777" w:rsidR="002452BB" w:rsidRDefault="00000000">
      <w:r>
        <w:t xml:space="preserve">Kaštelanski bazen B (sv Juraj), obala CROSCO </w:t>
      </w:r>
    </w:p>
    <w:p w14:paraId="4AE9B40B" w14:textId="77777777" w:rsidR="002452BB" w:rsidRDefault="00000000">
      <w:r>
        <w:t xml:space="preserve">Investicijsko održavanje  </w:t>
      </w:r>
    </w:p>
    <w:p w14:paraId="0C5CC2B5" w14:textId="5B092C7D" w:rsidR="002452BB" w:rsidRDefault="00000000">
      <w:r>
        <w:t xml:space="preserve">Vađenje iz mora, čišćenje, bojanje te ponovno spuštanje u more postojećih čeličnih plutajućih distancera u T.C. sv. Juraj od strane Livel d.o.o. u iznosu od 82.258,59€ </w:t>
      </w:r>
    </w:p>
    <w:p w14:paraId="5DA657DE" w14:textId="77777777" w:rsidR="002452BB" w:rsidRDefault="00000000">
      <w:r>
        <w:t xml:space="preserve">Kaštelanski bazen D – Resnik: </w:t>
      </w:r>
    </w:p>
    <w:p w14:paraId="5185CFBE" w14:textId="77777777" w:rsidR="002452BB" w:rsidRDefault="00000000">
      <w:r>
        <w:t xml:space="preserve"> Investicijsko održavanje  </w:t>
      </w:r>
    </w:p>
    <w:p w14:paraId="157F7BAD" w14:textId="77777777" w:rsidR="002452BB" w:rsidRDefault="00000000">
      <w:r>
        <w:t xml:space="preserve">Rastavljanje, vađenje, sanacija oštećenog dna te bojanja pontonskog gata u luci Resnik izvođača radova Patrlji d.o.o. u iznosu 80.895€  </w:t>
      </w:r>
    </w:p>
    <w:p w14:paraId="56B8528B" w14:textId="77777777" w:rsidR="002452BB" w:rsidRDefault="00000000">
      <w:r>
        <w:t>.</w:t>
      </w:r>
    </w:p>
    <w:p w14:paraId="78438F43" w14:textId="77777777" w:rsidR="002452BB" w:rsidRDefault="0000000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5CF59084" w14:textId="77777777">
        <w:trPr>
          <w:jc w:val="center"/>
        </w:trPr>
        <w:tc>
          <w:tcPr>
            <w:tcW w:w="2551" w:type="dxa"/>
            <w:shd w:val="clear" w:color="auto" w:fill="B5C0D8"/>
          </w:tcPr>
          <w:p w14:paraId="52DBE557" w14:textId="77777777" w:rsidR="002452BB" w:rsidRDefault="00000000">
            <w:pPr>
              <w:jc w:val="center"/>
            </w:pPr>
            <w:r>
              <w:t>Pokazatelj rezultata</w:t>
            </w:r>
          </w:p>
        </w:tc>
        <w:tc>
          <w:tcPr>
            <w:tcW w:w="2551" w:type="dxa"/>
            <w:shd w:val="clear" w:color="auto" w:fill="B5C0D8"/>
          </w:tcPr>
          <w:p w14:paraId="58FA18F0" w14:textId="77777777" w:rsidR="002452BB" w:rsidRDefault="00000000">
            <w:pPr>
              <w:pStyle w:val="CellHeader"/>
              <w:jc w:val="center"/>
            </w:pPr>
            <w:r>
              <w:rPr>
                <w:rFonts w:cs="Times New Roman"/>
              </w:rPr>
              <w:t>Definicija</w:t>
            </w:r>
          </w:p>
        </w:tc>
        <w:tc>
          <w:tcPr>
            <w:tcW w:w="1020" w:type="dxa"/>
            <w:shd w:val="clear" w:color="auto" w:fill="B5C0D8"/>
          </w:tcPr>
          <w:p w14:paraId="0D9BA354" w14:textId="77777777" w:rsidR="002452BB" w:rsidRDefault="00000000">
            <w:pPr>
              <w:pStyle w:val="CellHeader"/>
              <w:jc w:val="center"/>
            </w:pPr>
            <w:r>
              <w:rPr>
                <w:rFonts w:cs="Times New Roman"/>
              </w:rPr>
              <w:t>Jedinica</w:t>
            </w:r>
          </w:p>
        </w:tc>
        <w:tc>
          <w:tcPr>
            <w:tcW w:w="1020" w:type="dxa"/>
            <w:shd w:val="clear" w:color="auto" w:fill="B5C0D8"/>
          </w:tcPr>
          <w:p w14:paraId="26D595D3" w14:textId="77777777" w:rsidR="002452BB" w:rsidRDefault="00000000">
            <w:pPr>
              <w:pStyle w:val="CellHeader"/>
              <w:jc w:val="center"/>
            </w:pPr>
            <w:r>
              <w:rPr>
                <w:rFonts w:cs="Times New Roman"/>
              </w:rPr>
              <w:t>Polazna vrijednost</w:t>
            </w:r>
          </w:p>
        </w:tc>
        <w:tc>
          <w:tcPr>
            <w:tcW w:w="1020" w:type="dxa"/>
            <w:shd w:val="clear" w:color="auto" w:fill="B5C0D8"/>
          </w:tcPr>
          <w:p w14:paraId="6AE17DFE" w14:textId="77777777" w:rsidR="002452BB" w:rsidRDefault="00000000">
            <w:pPr>
              <w:pStyle w:val="CellHeader"/>
              <w:jc w:val="center"/>
            </w:pPr>
            <w:r>
              <w:rPr>
                <w:rFonts w:cs="Times New Roman"/>
              </w:rPr>
              <w:t>Izvor podataka</w:t>
            </w:r>
          </w:p>
        </w:tc>
        <w:tc>
          <w:tcPr>
            <w:tcW w:w="1020" w:type="dxa"/>
            <w:shd w:val="clear" w:color="auto" w:fill="B5C0D8"/>
          </w:tcPr>
          <w:p w14:paraId="67AB57E8" w14:textId="77777777" w:rsidR="002452BB" w:rsidRDefault="00000000">
            <w:pPr>
              <w:pStyle w:val="CellHeader"/>
              <w:jc w:val="center"/>
            </w:pPr>
            <w:r>
              <w:rPr>
                <w:rFonts w:cs="Times New Roman"/>
              </w:rPr>
              <w:t>Ciljana vrijednost (2025.)</w:t>
            </w:r>
          </w:p>
        </w:tc>
        <w:tc>
          <w:tcPr>
            <w:tcW w:w="1020" w:type="dxa"/>
            <w:shd w:val="clear" w:color="auto" w:fill="B5C0D8"/>
          </w:tcPr>
          <w:p w14:paraId="33584902" w14:textId="77777777" w:rsidR="002452BB" w:rsidRDefault="00000000">
            <w:pPr>
              <w:pStyle w:val="CellHeader"/>
              <w:jc w:val="center"/>
            </w:pPr>
            <w:r>
              <w:rPr>
                <w:rFonts w:cs="Times New Roman"/>
              </w:rPr>
              <w:t>Ostvarena vrijednost (2025.)</w:t>
            </w:r>
          </w:p>
        </w:tc>
      </w:tr>
      <w:tr w:rsidR="002452BB" w14:paraId="06B6F5AE" w14:textId="77777777">
        <w:trPr>
          <w:jc w:val="center"/>
        </w:trPr>
        <w:tc>
          <w:tcPr>
            <w:tcW w:w="2551" w:type="dxa"/>
          </w:tcPr>
          <w:p w14:paraId="53B5FA09" w14:textId="77777777" w:rsidR="002452BB" w:rsidRDefault="00000000">
            <w:pPr>
              <w:pStyle w:val="CellColumn"/>
              <w:jc w:val="left"/>
            </w:pPr>
            <w:r>
              <w:rPr>
                <w:rFonts w:cs="Times New Roman"/>
              </w:rPr>
              <w:t>Stupanj povećanja ulaganja u investicijsko održavanje lučke infrastrukture</w:t>
            </w:r>
          </w:p>
        </w:tc>
        <w:tc>
          <w:tcPr>
            <w:tcW w:w="2551" w:type="dxa"/>
          </w:tcPr>
          <w:p w14:paraId="0745FC32" w14:textId="77777777" w:rsidR="002452BB" w:rsidRDefault="00000000">
            <w:pPr>
              <w:pStyle w:val="CellColumn"/>
              <w:jc w:val="left"/>
            </w:pPr>
            <w:r>
              <w:rPr>
                <w:rFonts w:cs="Times New Roman"/>
              </w:rPr>
              <w:t>Investicijsko održavanje lučke infrastrukture</w:t>
            </w:r>
          </w:p>
        </w:tc>
        <w:tc>
          <w:tcPr>
            <w:tcW w:w="1020" w:type="dxa"/>
          </w:tcPr>
          <w:p w14:paraId="22E8C43C" w14:textId="77777777" w:rsidR="002452BB" w:rsidRDefault="00000000">
            <w:pPr>
              <w:pStyle w:val="CellColumn"/>
              <w:jc w:val="right"/>
            </w:pPr>
            <w:r>
              <w:rPr>
                <w:rFonts w:cs="Times New Roman"/>
              </w:rPr>
              <w:t>%</w:t>
            </w:r>
          </w:p>
        </w:tc>
        <w:tc>
          <w:tcPr>
            <w:tcW w:w="1020" w:type="dxa"/>
          </w:tcPr>
          <w:p w14:paraId="56BD02DE" w14:textId="77777777" w:rsidR="002452BB" w:rsidRDefault="00000000">
            <w:pPr>
              <w:pStyle w:val="CellColumn"/>
              <w:jc w:val="right"/>
            </w:pPr>
            <w:r>
              <w:rPr>
                <w:rFonts w:cs="Times New Roman"/>
              </w:rPr>
              <w:t>0</w:t>
            </w:r>
          </w:p>
        </w:tc>
        <w:tc>
          <w:tcPr>
            <w:tcW w:w="1020" w:type="dxa"/>
          </w:tcPr>
          <w:p w14:paraId="2C23ED05" w14:textId="77777777" w:rsidR="002452BB" w:rsidRDefault="00000000">
            <w:pPr>
              <w:pStyle w:val="CellColumn"/>
              <w:jc w:val="right"/>
            </w:pPr>
            <w:r>
              <w:rPr>
                <w:rFonts w:cs="Times New Roman"/>
              </w:rPr>
              <w:t>Lučka uprava Split</w:t>
            </w:r>
          </w:p>
        </w:tc>
        <w:tc>
          <w:tcPr>
            <w:tcW w:w="1020" w:type="dxa"/>
          </w:tcPr>
          <w:p w14:paraId="7948A1A5" w14:textId="77777777" w:rsidR="002452BB" w:rsidRDefault="00000000">
            <w:pPr>
              <w:pStyle w:val="CellColumn"/>
              <w:jc w:val="right"/>
            </w:pPr>
            <w:r>
              <w:rPr>
                <w:rFonts w:cs="Times New Roman"/>
              </w:rPr>
              <w:t>10</w:t>
            </w:r>
          </w:p>
        </w:tc>
        <w:tc>
          <w:tcPr>
            <w:tcW w:w="1020" w:type="dxa"/>
          </w:tcPr>
          <w:p w14:paraId="726E260F" w14:textId="77088CBC" w:rsidR="002452BB" w:rsidRDefault="00000000">
            <w:pPr>
              <w:pStyle w:val="CellColumn"/>
              <w:jc w:val="right"/>
            </w:pPr>
            <w:r>
              <w:rPr>
                <w:rFonts w:cs="Times New Roman"/>
              </w:rPr>
              <w:t>10</w:t>
            </w:r>
          </w:p>
        </w:tc>
      </w:tr>
    </w:tbl>
    <w:p w14:paraId="33FBBACD" w14:textId="77777777" w:rsidR="002452BB" w:rsidRDefault="002452BB">
      <w:pPr>
        <w:jc w:val="left"/>
      </w:pPr>
    </w:p>
    <w:p w14:paraId="5B3A12DA" w14:textId="77777777" w:rsidR="002452BB" w:rsidRDefault="00000000">
      <w:pPr>
        <w:pStyle w:val="Heading4"/>
      </w:pPr>
      <w:r>
        <w:t>K754078 IZGRADNJA RIBARSKE LUKE KOMIŽA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6DA574E2" w14:textId="77777777">
        <w:trPr>
          <w:jc w:val="center"/>
        </w:trPr>
        <w:tc>
          <w:tcPr>
            <w:tcW w:w="1632" w:type="dxa"/>
            <w:shd w:val="clear" w:color="auto" w:fill="B5C0D8"/>
          </w:tcPr>
          <w:p w14:paraId="5DF220DE" w14:textId="77777777" w:rsidR="002452BB" w:rsidRDefault="00000000">
            <w:pPr>
              <w:pStyle w:val="CellHeader"/>
              <w:jc w:val="center"/>
            </w:pPr>
            <w:r>
              <w:rPr>
                <w:rFonts w:cs="Times New Roman"/>
              </w:rPr>
              <w:t>Naziv aktivnosti</w:t>
            </w:r>
          </w:p>
        </w:tc>
        <w:tc>
          <w:tcPr>
            <w:tcW w:w="2041" w:type="dxa"/>
            <w:shd w:val="clear" w:color="auto" w:fill="B5C0D8"/>
          </w:tcPr>
          <w:p w14:paraId="2CE3BF2A" w14:textId="77777777" w:rsidR="002452BB" w:rsidRDefault="00000000">
            <w:pPr>
              <w:pStyle w:val="CellHeader"/>
              <w:jc w:val="center"/>
            </w:pPr>
            <w:r>
              <w:rPr>
                <w:rFonts w:cs="Times New Roman"/>
              </w:rPr>
              <w:t>Izvršenje 2024. (eur)</w:t>
            </w:r>
          </w:p>
        </w:tc>
        <w:tc>
          <w:tcPr>
            <w:tcW w:w="2041" w:type="dxa"/>
            <w:shd w:val="clear" w:color="auto" w:fill="B5C0D8"/>
          </w:tcPr>
          <w:p w14:paraId="382971EB" w14:textId="77777777" w:rsidR="002452BB" w:rsidRDefault="00000000">
            <w:pPr>
              <w:pStyle w:val="CellHeader"/>
              <w:jc w:val="center"/>
            </w:pPr>
            <w:r>
              <w:rPr>
                <w:rFonts w:cs="Times New Roman"/>
              </w:rPr>
              <w:t>Plan 2025. (eur)</w:t>
            </w:r>
          </w:p>
        </w:tc>
        <w:tc>
          <w:tcPr>
            <w:tcW w:w="2041" w:type="dxa"/>
            <w:shd w:val="clear" w:color="auto" w:fill="B5C0D8"/>
          </w:tcPr>
          <w:p w14:paraId="29041F09" w14:textId="77777777" w:rsidR="002452BB" w:rsidRDefault="00000000">
            <w:pPr>
              <w:pStyle w:val="CellHeader"/>
              <w:jc w:val="center"/>
            </w:pPr>
            <w:r>
              <w:rPr>
                <w:rFonts w:cs="Times New Roman"/>
              </w:rPr>
              <w:t>Izvršenje 2025. (eur)</w:t>
            </w:r>
          </w:p>
        </w:tc>
        <w:tc>
          <w:tcPr>
            <w:tcW w:w="1224" w:type="dxa"/>
            <w:shd w:val="clear" w:color="auto" w:fill="B5C0D8"/>
          </w:tcPr>
          <w:p w14:paraId="1E276DDE" w14:textId="77777777" w:rsidR="002452BB" w:rsidRDefault="00000000">
            <w:pPr>
              <w:pStyle w:val="CellHeader"/>
              <w:jc w:val="center"/>
            </w:pPr>
            <w:r>
              <w:rPr>
                <w:rFonts w:cs="Times New Roman"/>
              </w:rPr>
              <w:t>Indeks izvršenje 2025./plan 2025.</w:t>
            </w:r>
          </w:p>
        </w:tc>
        <w:tc>
          <w:tcPr>
            <w:tcW w:w="1224" w:type="dxa"/>
            <w:shd w:val="clear" w:color="auto" w:fill="B5C0D8"/>
          </w:tcPr>
          <w:p w14:paraId="69AEB011" w14:textId="77777777" w:rsidR="002452BB" w:rsidRDefault="00000000">
            <w:pPr>
              <w:pStyle w:val="CellHeader"/>
              <w:jc w:val="center"/>
            </w:pPr>
            <w:r>
              <w:rPr>
                <w:rFonts w:cs="Times New Roman"/>
              </w:rPr>
              <w:t>Indeks izvršenje 2025./2024.</w:t>
            </w:r>
          </w:p>
        </w:tc>
      </w:tr>
      <w:tr w:rsidR="002452BB" w14:paraId="68B3213B" w14:textId="77777777">
        <w:trPr>
          <w:jc w:val="center"/>
        </w:trPr>
        <w:tc>
          <w:tcPr>
            <w:tcW w:w="1632" w:type="dxa"/>
          </w:tcPr>
          <w:p w14:paraId="7F81F3D7" w14:textId="77777777" w:rsidR="002452BB" w:rsidRDefault="00000000">
            <w:pPr>
              <w:pStyle w:val="CellColumn"/>
              <w:jc w:val="left"/>
            </w:pPr>
            <w:r>
              <w:rPr>
                <w:rFonts w:cs="Times New Roman"/>
              </w:rPr>
              <w:t>K754078-IZGRADNJA RIBARSKE LUKE KOMIŽA</w:t>
            </w:r>
          </w:p>
        </w:tc>
        <w:tc>
          <w:tcPr>
            <w:tcW w:w="2041" w:type="dxa"/>
          </w:tcPr>
          <w:p w14:paraId="3774751E" w14:textId="77777777" w:rsidR="002452BB" w:rsidRDefault="00000000">
            <w:pPr>
              <w:pStyle w:val="CellColumn"/>
              <w:jc w:val="right"/>
            </w:pPr>
            <w:r>
              <w:rPr>
                <w:rFonts w:cs="Times New Roman"/>
              </w:rPr>
              <w:t>00</w:t>
            </w:r>
          </w:p>
        </w:tc>
        <w:tc>
          <w:tcPr>
            <w:tcW w:w="2041" w:type="dxa"/>
          </w:tcPr>
          <w:p w14:paraId="09BDDD0A" w14:textId="77777777" w:rsidR="002452BB" w:rsidRDefault="00000000">
            <w:pPr>
              <w:pStyle w:val="CellColumn"/>
              <w:jc w:val="right"/>
            </w:pPr>
            <w:r>
              <w:rPr>
                <w:rFonts w:cs="Times New Roman"/>
              </w:rPr>
              <w:t>4.117.000</w:t>
            </w:r>
          </w:p>
        </w:tc>
        <w:tc>
          <w:tcPr>
            <w:tcW w:w="2041" w:type="dxa"/>
          </w:tcPr>
          <w:p w14:paraId="53D573A4" w14:textId="77777777" w:rsidR="002452BB" w:rsidRDefault="00000000">
            <w:pPr>
              <w:pStyle w:val="CellColumn"/>
              <w:jc w:val="right"/>
            </w:pPr>
            <w:r>
              <w:rPr>
                <w:rFonts w:cs="Times New Roman"/>
              </w:rPr>
              <w:t>4.127.758</w:t>
            </w:r>
          </w:p>
        </w:tc>
        <w:tc>
          <w:tcPr>
            <w:tcW w:w="1224" w:type="dxa"/>
          </w:tcPr>
          <w:p w14:paraId="3EC23E75" w14:textId="77777777" w:rsidR="002452BB" w:rsidRDefault="00000000">
            <w:pPr>
              <w:pStyle w:val="CellColumn"/>
              <w:jc w:val="right"/>
            </w:pPr>
            <w:r>
              <w:rPr>
                <w:rFonts w:cs="Times New Roman"/>
              </w:rPr>
              <w:t>100,3</w:t>
            </w:r>
          </w:p>
        </w:tc>
        <w:tc>
          <w:tcPr>
            <w:tcW w:w="1224" w:type="dxa"/>
          </w:tcPr>
          <w:p w14:paraId="3CE2ED37" w14:textId="77777777" w:rsidR="002452BB" w:rsidRDefault="00000000">
            <w:pPr>
              <w:pStyle w:val="CellColumn"/>
              <w:jc w:val="right"/>
            </w:pPr>
            <w:r>
              <w:rPr>
                <w:rFonts w:cs="Times New Roman"/>
              </w:rPr>
              <w:t>0,0</w:t>
            </w:r>
          </w:p>
        </w:tc>
      </w:tr>
    </w:tbl>
    <w:p w14:paraId="3B0ED4DC" w14:textId="77777777" w:rsidR="002452BB" w:rsidRDefault="002452BB">
      <w:pPr>
        <w:jc w:val="left"/>
      </w:pPr>
    </w:p>
    <w:p w14:paraId="4308E280" w14:textId="77777777" w:rsidR="002452BB" w:rsidRDefault="00000000">
      <w:pPr>
        <w:pStyle w:val="Heading8"/>
        <w:jc w:val="left"/>
      </w:pPr>
      <w:r>
        <w:t>Zakonske i druge pravne osnove</w:t>
      </w:r>
    </w:p>
    <w:p w14:paraId="46E61587" w14:textId="77777777" w:rsidR="002452BB" w:rsidRDefault="00000000">
      <w:r>
        <w:t>Zakon o pomorskom dobru i morskim lukama NN 83/2023</w:t>
      </w:r>
    </w:p>
    <w:p w14:paraId="03D4AB65" w14:textId="77777777" w:rsidR="002452BB" w:rsidRDefault="00000000">
      <w:pPr>
        <w:pStyle w:val="Heading8"/>
        <w:jc w:val="left"/>
      </w:pPr>
      <w:r>
        <w:t>Opis aktivnosti</w:t>
      </w:r>
    </w:p>
    <w:p w14:paraId="10C002E2" w14:textId="223B553F" w:rsidR="002452BB" w:rsidRDefault="00000000">
      <w:r>
        <w:t>Projektom je predviđeno ulaganje u postojeću ribarsku luku Komiža, južno od bivše tvornice ribe „Neptun“. Ukupno ulaganje je podijeljeno u 7 faza, od kojih je ovim projektom obuhvaćena 1. faza ulaganja, a predviđa uređenje primarnog lukobrana u duljini od cca 78 m, platoa u korijenu primarnog lukobrana, operativne obale u duljini od cca 54 m, operativne obale istočno od korijena lukobrana u duljini cca 89 m, zajedno sa uređenjem prometnih površina te instalacijama u zaleđu obalnog zida. Ulaganje će omogućiti odgovarajuće uvjete za prihvat i manipulaciju ribarskih brodova na području otoka Visa i cijelog gravitacijskog područja. Projekt izgradnje Ribarska luka Komiža – faza 1,  obuhvaća izvođenje radova u iznosu od 11.050.279,06 €. Financiranje projekta je predviđeno  iz sredstava Ministarstva poljoprivrede u ukupnom iznosu od 5.000.000,00 € te sredstava Državnog proračuna preko Ministarstva mora, prometa i infrastrukture u iznosu od 6.050.279,06 €. Troškovi nadzora su predviđeni u iznosu  od cca 300 tis €, a financiraju se iz namjenskih prihoda Lučke uprave Split. Projekt izgradnje I faze je ugovoren  na rok od 2 godine. Izvođač radova je Pomgrad inženjering d.o.o. Radovi su započeli u svibnju 2025.godine</w:t>
      </w:r>
      <w:r w:rsidR="00076065">
        <w:t xml:space="preserve"> i </w:t>
      </w:r>
      <w:r>
        <w:t xml:space="preserve">izvršeni su  prema definiranom dinamičkom planu, odnosno </w:t>
      </w:r>
      <w:r w:rsidR="00BA2388">
        <w:t>35</w:t>
      </w:r>
      <w:r>
        <w:t>% od ukupne vrijednosti projekta. Ukupno je fakturirano 7 privremenih situacija i 100% su završeni  pripremni radovi,52% zemljani  radovi te 20%  armirano betonski radovi.</w:t>
      </w:r>
    </w:p>
    <w:p w14:paraId="313B4CA1"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73A2BDAB" w14:textId="77777777">
        <w:trPr>
          <w:jc w:val="center"/>
        </w:trPr>
        <w:tc>
          <w:tcPr>
            <w:tcW w:w="2551" w:type="dxa"/>
            <w:shd w:val="clear" w:color="auto" w:fill="B5C0D8"/>
          </w:tcPr>
          <w:p w14:paraId="4AF77CA0" w14:textId="77777777" w:rsidR="002452BB" w:rsidRDefault="00000000">
            <w:pPr>
              <w:jc w:val="center"/>
            </w:pPr>
            <w:r>
              <w:t>Pokazatelj rezultata</w:t>
            </w:r>
          </w:p>
        </w:tc>
        <w:tc>
          <w:tcPr>
            <w:tcW w:w="2551" w:type="dxa"/>
            <w:shd w:val="clear" w:color="auto" w:fill="B5C0D8"/>
          </w:tcPr>
          <w:p w14:paraId="1374F28D" w14:textId="77777777" w:rsidR="002452BB" w:rsidRDefault="00000000">
            <w:pPr>
              <w:pStyle w:val="CellHeader"/>
              <w:jc w:val="center"/>
            </w:pPr>
            <w:r>
              <w:rPr>
                <w:rFonts w:cs="Times New Roman"/>
              </w:rPr>
              <w:t>Definicija</w:t>
            </w:r>
          </w:p>
        </w:tc>
        <w:tc>
          <w:tcPr>
            <w:tcW w:w="1020" w:type="dxa"/>
            <w:shd w:val="clear" w:color="auto" w:fill="B5C0D8"/>
          </w:tcPr>
          <w:p w14:paraId="0889B855" w14:textId="77777777" w:rsidR="002452BB" w:rsidRDefault="00000000">
            <w:pPr>
              <w:pStyle w:val="CellHeader"/>
              <w:jc w:val="center"/>
            </w:pPr>
            <w:r>
              <w:rPr>
                <w:rFonts w:cs="Times New Roman"/>
              </w:rPr>
              <w:t>Jedinica</w:t>
            </w:r>
          </w:p>
        </w:tc>
        <w:tc>
          <w:tcPr>
            <w:tcW w:w="1020" w:type="dxa"/>
            <w:shd w:val="clear" w:color="auto" w:fill="B5C0D8"/>
          </w:tcPr>
          <w:p w14:paraId="267155B2" w14:textId="77777777" w:rsidR="002452BB" w:rsidRDefault="00000000">
            <w:pPr>
              <w:pStyle w:val="CellHeader"/>
              <w:jc w:val="center"/>
            </w:pPr>
            <w:r>
              <w:rPr>
                <w:rFonts w:cs="Times New Roman"/>
              </w:rPr>
              <w:t>Polazna vrijednost</w:t>
            </w:r>
          </w:p>
        </w:tc>
        <w:tc>
          <w:tcPr>
            <w:tcW w:w="1020" w:type="dxa"/>
            <w:shd w:val="clear" w:color="auto" w:fill="B5C0D8"/>
          </w:tcPr>
          <w:p w14:paraId="64F145B5" w14:textId="77777777" w:rsidR="002452BB" w:rsidRDefault="00000000">
            <w:pPr>
              <w:pStyle w:val="CellHeader"/>
              <w:jc w:val="center"/>
            </w:pPr>
            <w:r>
              <w:rPr>
                <w:rFonts w:cs="Times New Roman"/>
              </w:rPr>
              <w:t>Izvor podataka</w:t>
            </w:r>
          </w:p>
        </w:tc>
        <w:tc>
          <w:tcPr>
            <w:tcW w:w="1020" w:type="dxa"/>
            <w:shd w:val="clear" w:color="auto" w:fill="B5C0D8"/>
          </w:tcPr>
          <w:p w14:paraId="170C2BDD" w14:textId="77777777" w:rsidR="002452BB" w:rsidRDefault="00000000">
            <w:pPr>
              <w:pStyle w:val="CellHeader"/>
              <w:jc w:val="center"/>
            </w:pPr>
            <w:r>
              <w:rPr>
                <w:rFonts w:cs="Times New Roman"/>
              </w:rPr>
              <w:t>Ciljana vrijednost (2025.)</w:t>
            </w:r>
          </w:p>
        </w:tc>
        <w:tc>
          <w:tcPr>
            <w:tcW w:w="1020" w:type="dxa"/>
            <w:shd w:val="clear" w:color="auto" w:fill="B5C0D8"/>
          </w:tcPr>
          <w:p w14:paraId="48FB8178" w14:textId="77777777" w:rsidR="002452BB" w:rsidRDefault="00000000">
            <w:pPr>
              <w:pStyle w:val="CellHeader"/>
              <w:jc w:val="center"/>
            </w:pPr>
            <w:r>
              <w:rPr>
                <w:rFonts w:cs="Times New Roman"/>
              </w:rPr>
              <w:t>Ostvarena vrijednost (2025.)</w:t>
            </w:r>
          </w:p>
        </w:tc>
      </w:tr>
      <w:tr w:rsidR="002452BB" w14:paraId="2DF04A0F" w14:textId="77777777">
        <w:trPr>
          <w:jc w:val="center"/>
        </w:trPr>
        <w:tc>
          <w:tcPr>
            <w:tcW w:w="2551" w:type="dxa"/>
          </w:tcPr>
          <w:p w14:paraId="45534A99" w14:textId="77777777" w:rsidR="002452BB" w:rsidRDefault="00000000">
            <w:pPr>
              <w:pStyle w:val="CellColumn"/>
              <w:jc w:val="left"/>
            </w:pPr>
            <w:r>
              <w:rPr>
                <w:rFonts w:cs="Times New Roman"/>
              </w:rPr>
              <w:t>Stupanj izgrađenosti I faze projekta koja se odnosi na uređenje primarnog lukobrana, operativne obale, prometnih površina i instalacija u zaleđu obalnog zida</w:t>
            </w:r>
          </w:p>
        </w:tc>
        <w:tc>
          <w:tcPr>
            <w:tcW w:w="2551" w:type="dxa"/>
          </w:tcPr>
          <w:p w14:paraId="2761A4A1" w14:textId="77777777" w:rsidR="002452BB" w:rsidRDefault="00000000">
            <w:pPr>
              <w:pStyle w:val="CellColumn"/>
              <w:jc w:val="left"/>
            </w:pPr>
            <w:r>
              <w:rPr>
                <w:rFonts w:cs="Times New Roman"/>
              </w:rPr>
              <w:t>Realizacija izgradnje I faze ribarske luke koja se odnosi na: uređenje primarnog lukobrana, operativne obale i prometnih površina kao i instalacija u zaleđu obalnog zida, u cilju povećanja operativnih površina i proširenja prihvatnih kapaciteta brodova</w:t>
            </w:r>
          </w:p>
        </w:tc>
        <w:tc>
          <w:tcPr>
            <w:tcW w:w="1020" w:type="dxa"/>
          </w:tcPr>
          <w:p w14:paraId="67F56E2E" w14:textId="77777777" w:rsidR="002452BB" w:rsidRDefault="00000000">
            <w:pPr>
              <w:pStyle w:val="CellColumn"/>
              <w:jc w:val="right"/>
            </w:pPr>
            <w:r>
              <w:rPr>
                <w:rFonts w:cs="Times New Roman"/>
              </w:rPr>
              <w:t>%</w:t>
            </w:r>
          </w:p>
        </w:tc>
        <w:tc>
          <w:tcPr>
            <w:tcW w:w="1020" w:type="dxa"/>
          </w:tcPr>
          <w:p w14:paraId="4D90D5AB" w14:textId="77777777" w:rsidR="002452BB" w:rsidRDefault="00000000">
            <w:pPr>
              <w:pStyle w:val="CellColumn"/>
              <w:jc w:val="right"/>
            </w:pPr>
            <w:r>
              <w:rPr>
                <w:rFonts w:cs="Times New Roman"/>
              </w:rPr>
              <w:t>0</w:t>
            </w:r>
          </w:p>
        </w:tc>
        <w:tc>
          <w:tcPr>
            <w:tcW w:w="1020" w:type="dxa"/>
          </w:tcPr>
          <w:p w14:paraId="4861DDBB" w14:textId="77777777" w:rsidR="002452BB" w:rsidRDefault="00000000">
            <w:pPr>
              <w:pStyle w:val="CellColumn"/>
              <w:jc w:val="right"/>
            </w:pPr>
            <w:r>
              <w:rPr>
                <w:rFonts w:cs="Times New Roman"/>
              </w:rPr>
              <w:t>Lučka uprava</w:t>
            </w:r>
          </w:p>
        </w:tc>
        <w:tc>
          <w:tcPr>
            <w:tcW w:w="1020" w:type="dxa"/>
          </w:tcPr>
          <w:p w14:paraId="6D843C40" w14:textId="77777777" w:rsidR="002452BB" w:rsidRDefault="00000000">
            <w:pPr>
              <w:pStyle w:val="CellColumn"/>
              <w:jc w:val="right"/>
            </w:pPr>
            <w:r>
              <w:rPr>
                <w:rFonts w:cs="Times New Roman"/>
              </w:rPr>
              <w:t>30</w:t>
            </w:r>
          </w:p>
        </w:tc>
        <w:tc>
          <w:tcPr>
            <w:tcW w:w="1020" w:type="dxa"/>
          </w:tcPr>
          <w:p w14:paraId="050863FB" w14:textId="77777777" w:rsidR="002452BB" w:rsidRDefault="00000000">
            <w:pPr>
              <w:pStyle w:val="CellColumn"/>
              <w:jc w:val="right"/>
            </w:pPr>
            <w:r>
              <w:rPr>
                <w:rFonts w:cs="Times New Roman"/>
              </w:rPr>
              <w:t>35</w:t>
            </w:r>
          </w:p>
        </w:tc>
      </w:tr>
    </w:tbl>
    <w:p w14:paraId="7655EBED" w14:textId="77777777" w:rsidR="002452BB" w:rsidRDefault="002452BB">
      <w:pPr>
        <w:jc w:val="left"/>
      </w:pPr>
    </w:p>
    <w:p w14:paraId="5948D211" w14:textId="77777777" w:rsidR="002452BB" w:rsidRDefault="00000000">
      <w:pPr>
        <w:pStyle w:val="Heading4"/>
      </w:pPr>
      <w:r>
        <w:lastRenderedPageBreak/>
        <w:t>K754083 KIBERNETIČKA SIGURNOST U HRVATSKOM POMORSKOM PROMETU- CYSCROMS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0E1BCD59" w14:textId="77777777">
        <w:trPr>
          <w:jc w:val="center"/>
        </w:trPr>
        <w:tc>
          <w:tcPr>
            <w:tcW w:w="1632" w:type="dxa"/>
            <w:shd w:val="clear" w:color="auto" w:fill="B5C0D8"/>
          </w:tcPr>
          <w:p w14:paraId="59AFB077" w14:textId="77777777" w:rsidR="002452BB" w:rsidRDefault="00000000">
            <w:pPr>
              <w:pStyle w:val="CellHeader"/>
              <w:jc w:val="center"/>
            </w:pPr>
            <w:r>
              <w:rPr>
                <w:rFonts w:cs="Times New Roman"/>
              </w:rPr>
              <w:t>Naziv aktivnosti</w:t>
            </w:r>
          </w:p>
        </w:tc>
        <w:tc>
          <w:tcPr>
            <w:tcW w:w="2041" w:type="dxa"/>
            <w:shd w:val="clear" w:color="auto" w:fill="B5C0D8"/>
          </w:tcPr>
          <w:p w14:paraId="44119A59" w14:textId="77777777" w:rsidR="002452BB" w:rsidRDefault="00000000">
            <w:pPr>
              <w:pStyle w:val="CellHeader"/>
              <w:jc w:val="center"/>
            </w:pPr>
            <w:r>
              <w:rPr>
                <w:rFonts w:cs="Times New Roman"/>
              </w:rPr>
              <w:t>Izvršenje 2024. (eur)</w:t>
            </w:r>
          </w:p>
        </w:tc>
        <w:tc>
          <w:tcPr>
            <w:tcW w:w="2041" w:type="dxa"/>
            <w:shd w:val="clear" w:color="auto" w:fill="B5C0D8"/>
          </w:tcPr>
          <w:p w14:paraId="725B2F5B" w14:textId="77777777" w:rsidR="002452BB" w:rsidRDefault="00000000">
            <w:pPr>
              <w:pStyle w:val="CellHeader"/>
              <w:jc w:val="center"/>
            </w:pPr>
            <w:r>
              <w:rPr>
                <w:rFonts w:cs="Times New Roman"/>
              </w:rPr>
              <w:t>Plan 2025. (eur)</w:t>
            </w:r>
          </w:p>
        </w:tc>
        <w:tc>
          <w:tcPr>
            <w:tcW w:w="2041" w:type="dxa"/>
            <w:shd w:val="clear" w:color="auto" w:fill="B5C0D8"/>
          </w:tcPr>
          <w:p w14:paraId="2F34ACE5" w14:textId="77777777" w:rsidR="002452BB" w:rsidRDefault="00000000">
            <w:pPr>
              <w:pStyle w:val="CellHeader"/>
              <w:jc w:val="center"/>
            </w:pPr>
            <w:r>
              <w:rPr>
                <w:rFonts w:cs="Times New Roman"/>
              </w:rPr>
              <w:t>Izvršenje 2025. (eur)</w:t>
            </w:r>
          </w:p>
        </w:tc>
        <w:tc>
          <w:tcPr>
            <w:tcW w:w="1224" w:type="dxa"/>
            <w:shd w:val="clear" w:color="auto" w:fill="B5C0D8"/>
          </w:tcPr>
          <w:p w14:paraId="12D9AA55" w14:textId="77777777" w:rsidR="002452BB" w:rsidRDefault="00000000">
            <w:pPr>
              <w:pStyle w:val="CellHeader"/>
              <w:jc w:val="center"/>
            </w:pPr>
            <w:r>
              <w:rPr>
                <w:rFonts w:cs="Times New Roman"/>
              </w:rPr>
              <w:t>Indeks izvršenje 2025./plan 2025.</w:t>
            </w:r>
          </w:p>
        </w:tc>
        <w:tc>
          <w:tcPr>
            <w:tcW w:w="1224" w:type="dxa"/>
            <w:shd w:val="clear" w:color="auto" w:fill="B5C0D8"/>
          </w:tcPr>
          <w:p w14:paraId="436829E3" w14:textId="77777777" w:rsidR="002452BB" w:rsidRDefault="00000000">
            <w:pPr>
              <w:pStyle w:val="CellHeader"/>
              <w:jc w:val="center"/>
            </w:pPr>
            <w:r>
              <w:rPr>
                <w:rFonts w:cs="Times New Roman"/>
              </w:rPr>
              <w:t>Indeks izvršenje 2025./2024.</w:t>
            </w:r>
          </w:p>
        </w:tc>
      </w:tr>
      <w:tr w:rsidR="002452BB" w14:paraId="02B0C881" w14:textId="77777777">
        <w:trPr>
          <w:jc w:val="center"/>
        </w:trPr>
        <w:tc>
          <w:tcPr>
            <w:tcW w:w="1632" w:type="dxa"/>
          </w:tcPr>
          <w:p w14:paraId="5BA187AD" w14:textId="77777777" w:rsidR="002452BB" w:rsidRDefault="00000000">
            <w:pPr>
              <w:pStyle w:val="CellColumn"/>
              <w:jc w:val="left"/>
            </w:pPr>
            <w:r>
              <w:rPr>
                <w:rFonts w:cs="Times New Roman"/>
              </w:rPr>
              <w:t>K754083-KIBERNETIČKA SIGURNOST U HRVATSKOM POMORSKOM PROMETU- CYSCROMS</w:t>
            </w:r>
          </w:p>
        </w:tc>
        <w:tc>
          <w:tcPr>
            <w:tcW w:w="2041" w:type="dxa"/>
          </w:tcPr>
          <w:p w14:paraId="5EDEE877" w14:textId="77777777" w:rsidR="002452BB" w:rsidRDefault="00000000">
            <w:pPr>
              <w:pStyle w:val="CellColumn"/>
              <w:jc w:val="right"/>
            </w:pPr>
            <w:r>
              <w:rPr>
                <w:rFonts w:cs="Times New Roman"/>
              </w:rPr>
              <w:t>00</w:t>
            </w:r>
          </w:p>
        </w:tc>
        <w:tc>
          <w:tcPr>
            <w:tcW w:w="2041" w:type="dxa"/>
          </w:tcPr>
          <w:p w14:paraId="2888F74C" w14:textId="77777777" w:rsidR="002452BB" w:rsidRDefault="00000000">
            <w:pPr>
              <w:pStyle w:val="CellColumn"/>
              <w:jc w:val="right"/>
            </w:pPr>
            <w:r>
              <w:rPr>
                <w:rFonts w:cs="Times New Roman"/>
              </w:rPr>
              <w:t>101.732</w:t>
            </w:r>
          </w:p>
        </w:tc>
        <w:tc>
          <w:tcPr>
            <w:tcW w:w="2041" w:type="dxa"/>
          </w:tcPr>
          <w:p w14:paraId="2983DED3" w14:textId="77777777" w:rsidR="002452BB" w:rsidRDefault="00000000">
            <w:pPr>
              <w:pStyle w:val="CellColumn"/>
              <w:jc w:val="right"/>
            </w:pPr>
            <w:r>
              <w:rPr>
                <w:rFonts w:cs="Times New Roman"/>
              </w:rPr>
              <w:t>11.265</w:t>
            </w:r>
          </w:p>
        </w:tc>
        <w:tc>
          <w:tcPr>
            <w:tcW w:w="1224" w:type="dxa"/>
          </w:tcPr>
          <w:p w14:paraId="430811AE" w14:textId="77777777" w:rsidR="002452BB" w:rsidRDefault="00000000">
            <w:pPr>
              <w:pStyle w:val="CellColumn"/>
              <w:jc w:val="right"/>
            </w:pPr>
            <w:r>
              <w:rPr>
                <w:rFonts w:cs="Times New Roman"/>
              </w:rPr>
              <w:t>11,1</w:t>
            </w:r>
          </w:p>
        </w:tc>
        <w:tc>
          <w:tcPr>
            <w:tcW w:w="1224" w:type="dxa"/>
          </w:tcPr>
          <w:p w14:paraId="279B0F90" w14:textId="77777777" w:rsidR="002452BB" w:rsidRDefault="00000000">
            <w:pPr>
              <w:pStyle w:val="CellColumn"/>
              <w:jc w:val="right"/>
            </w:pPr>
            <w:r>
              <w:rPr>
                <w:rFonts w:cs="Times New Roman"/>
              </w:rPr>
              <w:t>0,0</w:t>
            </w:r>
          </w:p>
        </w:tc>
      </w:tr>
    </w:tbl>
    <w:p w14:paraId="5308B163" w14:textId="77777777" w:rsidR="002452BB" w:rsidRDefault="002452BB">
      <w:pPr>
        <w:jc w:val="left"/>
      </w:pPr>
    </w:p>
    <w:p w14:paraId="0F8A0979" w14:textId="77777777" w:rsidR="002452BB" w:rsidRDefault="00000000">
      <w:pPr>
        <w:pStyle w:val="Heading8"/>
        <w:jc w:val="left"/>
      </w:pPr>
      <w:r>
        <w:t>Zakonske i druge pravne osnove</w:t>
      </w:r>
    </w:p>
    <w:p w14:paraId="3D9A1DA8" w14:textId="77777777" w:rsidR="002452BB" w:rsidRDefault="00000000">
      <w:r>
        <w:t xml:space="preserve">- Zakon o pomorskom dobru i morskim lukama </w:t>
      </w:r>
    </w:p>
    <w:p w14:paraId="5C70806F" w14:textId="77777777" w:rsidR="002452BB" w:rsidRDefault="00000000">
      <w:r>
        <w:t xml:space="preserve">- Zakon o uspostavi institucionalnog okvira za provedbu europskih strukturnih i investicijskih fondova u Hrvatskoj  </w:t>
      </w:r>
    </w:p>
    <w:p w14:paraId="62FC0A53" w14:textId="77777777" w:rsidR="002452BB" w:rsidRDefault="00000000">
      <w:r>
        <w:t>- Parterski sporazum za implementaciju projekta INTERREG VI-A Italija-  Hrvatska KIBERNETIČKA SIGURNOST U HRVATSKOM POMORSKOM PROMETU- CYSCROMS</w:t>
      </w:r>
    </w:p>
    <w:p w14:paraId="7A24F07C" w14:textId="77777777" w:rsidR="002452BB" w:rsidRDefault="00000000">
      <w:pPr>
        <w:pStyle w:val="Heading8"/>
        <w:jc w:val="left"/>
      </w:pPr>
      <w:r>
        <w:t>Opis aktivnosti</w:t>
      </w:r>
    </w:p>
    <w:p w14:paraId="4186D38B" w14:textId="3DDAC980" w:rsidR="002452BB" w:rsidRDefault="00000000">
      <w:r>
        <w:t xml:space="preserve">Projekt CYSCROMS (Cyber Safety in Croatian Maritime Transport Sector) usmjeren je na jačanje kibernetičke otpornosti sustava u hrvatskom pomorskom prometnom sektoru kroz aktivnosti usklađenja, procjene rizika, podizanja razine sigurnosne zrelosti i edukacije korisnika, a provodi se u okviru programa Digital Europe Programme (DIGITAL-ECCC-2022-CYBER-03) u razdoblju od 01.10.2023. do 30.09.2026. u ukupnom trajanju od 36 mjeseci. U okviru projekta Lučka uprava Split sudjeluje kao projektni partner na dvije aktivnosti , pri čemu je za Lučku upravu Split predviđena provedba usluga podizanja usklađenosti s Direktivom (EU) 2022/2555 (NIS2), uključujući analizu postojećeg stanja, GAP analizu, procjenu rizika, izradu sigurnosnih politika, procedura, registara i planova, kao i provedbu e-learning programa kibernetičke sigurnosti za zaposlenike. S obzirom na značaj predmetnih aktivnosti za lučki sustav kao dio kritične prometne i logističke infrastrukture Republike Hrvatske, postupci nabave </w:t>
      </w:r>
      <w:r w:rsidR="00D95BC1">
        <w:t>su</w:t>
      </w:r>
      <w:r>
        <w:t xml:space="preserve"> u tijeku, pri čemu dinamika izvršenja ovisi o potrebi osiguranja pune tehničke, regulatorne i sigurnosne usklađenosti, uključujući provedbu odgovarajućih provjera izvođača i precizno definiranje opsega usluga u skladu s projektnim i nacionalnim zahtjevima. Dodatno, za Lučku upravu Split u projektu nije predviđena investicijska komponenta u kategoriji opreme, već isključivo analitičko-edukacijske aktivnosti financirane kroz vanjske usluge, što znači da je financijska realizacija po svojoj naravi vezana uz uredno ugovaranje i provedbu stručnih usluga, a ne uz nabavu materijalne ili digitalne infrastrukture. Sukladno načelima učinkovitog i svrhovitog korištenja sredstava propisanim proračunskim okvirom, izvršenje rashoda planirano je po dovršetku postupaka nabave i početku ugovorene provedbe, kako bi se osigurala potpuna funkcionalna, sigurnosna i vremenska optimizacija aktivnosti te usklađenost s pravilima prihvatljivosti troškova. Niže izvršenje proračuna i pokazatelj rezultata u vrijednosti 0 u 2025. godini posljedica su činjenice da se radi o visoko reguliranim sigurnosnim aktivnostima koje zahtijevaju prethodnu provedbu detaljne tehničke specifikacije, sigurnosne validacije i postupaka odabira izvršitelja (uključujući sigurnosne provjere), osobito uzimajući u obzir status sustava kao dijela kritične prometne infrastrukture Republike Hrvatske i heterogenu razinu IT zrelosti obuhvaćenih korisnika. Slijedom navedenog, aktivnosti će se operativno provesti u 2026. godini, dok je izostanak financijske realizacije i pokazatelja u 2025. godini rezultat objektivne potrebe za osiguravanjem pune sigurnosne, organizacijske i provedbene usklađenosti.</w:t>
      </w:r>
    </w:p>
    <w:p w14:paraId="6C6E58DB"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4077F02A" w14:textId="77777777">
        <w:trPr>
          <w:jc w:val="center"/>
        </w:trPr>
        <w:tc>
          <w:tcPr>
            <w:tcW w:w="2551" w:type="dxa"/>
            <w:shd w:val="clear" w:color="auto" w:fill="B5C0D8"/>
          </w:tcPr>
          <w:p w14:paraId="6053AFD6" w14:textId="77777777" w:rsidR="002452BB" w:rsidRDefault="00000000">
            <w:pPr>
              <w:jc w:val="center"/>
            </w:pPr>
            <w:r>
              <w:t>Pokazatelj rezultata</w:t>
            </w:r>
          </w:p>
        </w:tc>
        <w:tc>
          <w:tcPr>
            <w:tcW w:w="2551" w:type="dxa"/>
            <w:shd w:val="clear" w:color="auto" w:fill="B5C0D8"/>
          </w:tcPr>
          <w:p w14:paraId="058D7C56" w14:textId="77777777" w:rsidR="002452BB" w:rsidRDefault="00000000">
            <w:pPr>
              <w:pStyle w:val="CellHeader"/>
              <w:jc w:val="center"/>
            </w:pPr>
            <w:r>
              <w:rPr>
                <w:rFonts w:cs="Times New Roman"/>
              </w:rPr>
              <w:t>Definicija</w:t>
            </w:r>
          </w:p>
        </w:tc>
        <w:tc>
          <w:tcPr>
            <w:tcW w:w="1020" w:type="dxa"/>
            <w:shd w:val="clear" w:color="auto" w:fill="B5C0D8"/>
          </w:tcPr>
          <w:p w14:paraId="1FE7AFAF" w14:textId="77777777" w:rsidR="002452BB" w:rsidRDefault="00000000">
            <w:pPr>
              <w:pStyle w:val="CellHeader"/>
              <w:jc w:val="center"/>
            </w:pPr>
            <w:r>
              <w:rPr>
                <w:rFonts w:cs="Times New Roman"/>
              </w:rPr>
              <w:t>Jedinica</w:t>
            </w:r>
          </w:p>
        </w:tc>
        <w:tc>
          <w:tcPr>
            <w:tcW w:w="1020" w:type="dxa"/>
            <w:shd w:val="clear" w:color="auto" w:fill="B5C0D8"/>
          </w:tcPr>
          <w:p w14:paraId="164B8825" w14:textId="77777777" w:rsidR="002452BB" w:rsidRDefault="00000000">
            <w:pPr>
              <w:pStyle w:val="CellHeader"/>
              <w:jc w:val="center"/>
            </w:pPr>
            <w:r>
              <w:rPr>
                <w:rFonts w:cs="Times New Roman"/>
              </w:rPr>
              <w:t>Polazna vrijednost</w:t>
            </w:r>
          </w:p>
        </w:tc>
        <w:tc>
          <w:tcPr>
            <w:tcW w:w="1020" w:type="dxa"/>
            <w:shd w:val="clear" w:color="auto" w:fill="B5C0D8"/>
          </w:tcPr>
          <w:p w14:paraId="6AB2B66D" w14:textId="77777777" w:rsidR="002452BB" w:rsidRDefault="00000000">
            <w:pPr>
              <w:pStyle w:val="CellHeader"/>
              <w:jc w:val="center"/>
            </w:pPr>
            <w:r>
              <w:rPr>
                <w:rFonts w:cs="Times New Roman"/>
              </w:rPr>
              <w:t>Izvor podataka</w:t>
            </w:r>
          </w:p>
        </w:tc>
        <w:tc>
          <w:tcPr>
            <w:tcW w:w="1020" w:type="dxa"/>
            <w:shd w:val="clear" w:color="auto" w:fill="B5C0D8"/>
          </w:tcPr>
          <w:p w14:paraId="650D5C45" w14:textId="77777777" w:rsidR="002452BB" w:rsidRDefault="00000000">
            <w:pPr>
              <w:pStyle w:val="CellHeader"/>
              <w:jc w:val="center"/>
            </w:pPr>
            <w:r>
              <w:rPr>
                <w:rFonts w:cs="Times New Roman"/>
              </w:rPr>
              <w:t>Ciljana vrijednost (2025.)</w:t>
            </w:r>
          </w:p>
        </w:tc>
        <w:tc>
          <w:tcPr>
            <w:tcW w:w="1020" w:type="dxa"/>
            <w:shd w:val="clear" w:color="auto" w:fill="B5C0D8"/>
          </w:tcPr>
          <w:p w14:paraId="4C99B9C1" w14:textId="77777777" w:rsidR="002452BB" w:rsidRDefault="00000000">
            <w:pPr>
              <w:pStyle w:val="CellHeader"/>
              <w:jc w:val="center"/>
            </w:pPr>
            <w:r>
              <w:rPr>
                <w:rFonts w:cs="Times New Roman"/>
              </w:rPr>
              <w:t>Ostvarena vrijednost (2025.)</w:t>
            </w:r>
          </w:p>
        </w:tc>
      </w:tr>
      <w:tr w:rsidR="002452BB" w14:paraId="4471E3C1" w14:textId="77777777">
        <w:trPr>
          <w:jc w:val="center"/>
        </w:trPr>
        <w:tc>
          <w:tcPr>
            <w:tcW w:w="2551" w:type="dxa"/>
          </w:tcPr>
          <w:p w14:paraId="544546EF" w14:textId="77777777" w:rsidR="002452BB" w:rsidRDefault="00000000">
            <w:pPr>
              <w:pStyle w:val="CellColumn"/>
              <w:jc w:val="left"/>
            </w:pPr>
            <w:r>
              <w:rPr>
                <w:rFonts w:cs="Times New Roman"/>
              </w:rPr>
              <w:lastRenderedPageBreak/>
              <w:t>Stupanj dovršenosti implementacije opreme za osiguranje kibernetičke sigurnosti</w:t>
            </w:r>
          </w:p>
        </w:tc>
        <w:tc>
          <w:tcPr>
            <w:tcW w:w="2551" w:type="dxa"/>
          </w:tcPr>
          <w:p w14:paraId="00BF2A33" w14:textId="77777777" w:rsidR="002452BB" w:rsidRDefault="00000000">
            <w:pPr>
              <w:pStyle w:val="CellColumn"/>
              <w:jc w:val="left"/>
            </w:pPr>
            <w:r>
              <w:rPr>
                <w:rFonts w:cs="Times New Roman"/>
              </w:rPr>
              <w:t>Nabava i instaliranje opreme za osiguranje kibernetičke sigurnosti</w:t>
            </w:r>
          </w:p>
        </w:tc>
        <w:tc>
          <w:tcPr>
            <w:tcW w:w="1020" w:type="dxa"/>
          </w:tcPr>
          <w:p w14:paraId="40C2A52B" w14:textId="77777777" w:rsidR="002452BB" w:rsidRDefault="00000000">
            <w:pPr>
              <w:pStyle w:val="CellColumn"/>
              <w:jc w:val="right"/>
            </w:pPr>
            <w:r>
              <w:rPr>
                <w:rFonts w:cs="Times New Roman"/>
              </w:rPr>
              <w:t>%</w:t>
            </w:r>
          </w:p>
        </w:tc>
        <w:tc>
          <w:tcPr>
            <w:tcW w:w="1020" w:type="dxa"/>
          </w:tcPr>
          <w:p w14:paraId="064736C5" w14:textId="77777777" w:rsidR="002452BB" w:rsidRDefault="00000000">
            <w:pPr>
              <w:pStyle w:val="CellColumn"/>
              <w:jc w:val="right"/>
            </w:pPr>
            <w:r>
              <w:rPr>
                <w:rFonts w:cs="Times New Roman"/>
              </w:rPr>
              <w:t>0</w:t>
            </w:r>
          </w:p>
        </w:tc>
        <w:tc>
          <w:tcPr>
            <w:tcW w:w="1020" w:type="dxa"/>
          </w:tcPr>
          <w:p w14:paraId="750CE1D4" w14:textId="77777777" w:rsidR="002452BB" w:rsidRDefault="00000000">
            <w:pPr>
              <w:pStyle w:val="CellColumn"/>
              <w:jc w:val="right"/>
            </w:pPr>
            <w:r>
              <w:rPr>
                <w:rFonts w:cs="Times New Roman"/>
              </w:rPr>
              <w:t>Lučka uprava Split</w:t>
            </w:r>
          </w:p>
        </w:tc>
        <w:tc>
          <w:tcPr>
            <w:tcW w:w="1020" w:type="dxa"/>
          </w:tcPr>
          <w:p w14:paraId="0A40800C" w14:textId="77777777" w:rsidR="002452BB" w:rsidRDefault="00000000">
            <w:pPr>
              <w:pStyle w:val="CellColumn"/>
              <w:jc w:val="right"/>
            </w:pPr>
            <w:r>
              <w:rPr>
                <w:rFonts w:cs="Times New Roman"/>
              </w:rPr>
              <w:t>30</w:t>
            </w:r>
          </w:p>
        </w:tc>
        <w:tc>
          <w:tcPr>
            <w:tcW w:w="1020" w:type="dxa"/>
          </w:tcPr>
          <w:p w14:paraId="677D13EA" w14:textId="0A0831FA" w:rsidR="002452BB" w:rsidRDefault="00000000">
            <w:pPr>
              <w:pStyle w:val="CellColumn"/>
              <w:jc w:val="right"/>
            </w:pPr>
            <w:r>
              <w:rPr>
                <w:rFonts w:cs="Times New Roman"/>
              </w:rPr>
              <w:t>0</w:t>
            </w:r>
          </w:p>
        </w:tc>
      </w:tr>
    </w:tbl>
    <w:p w14:paraId="603B4498" w14:textId="77777777" w:rsidR="002452BB" w:rsidRDefault="002452BB">
      <w:pPr>
        <w:jc w:val="left"/>
      </w:pPr>
    </w:p>
    <w:p w14:paraId="5CC3611F" w14:textId="77777777" w:rsidR="002452BB" w:rsidRDefault="00000000">
      <w:pPr>
        <w:pStyle w:val="Heading4"/>
      </w:pPr>
      <w:r>
        <w:t>K754084 INTERREG VI-A ITALIJA - HRVATSKA PROJEKT DIGITPORTS - DIGITALNE DVOSTRUKE APLIKACIJE ZA SIGURNIJE I ZELENIJE POSLOVANJE LUKA  NA JADRANU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63DDD975" w14:textId="77777777">
        <w:trPr>
          <w:jc w:val="center"/>
        </w:trPr>
        <w:tc>
          <w:tcPr>
            <w:tcW w:w="1632" w:type="dxa"/>
            <w:shd w:val="clear" w:color="auto" w:fill="B5C0D8"/>
          </w:tcPr>
          <w:p w14:paraId="4E71BD4D" w14:textId="77777777" w:rsidR="002452BB" w:rsidRDefault="00000000">
            <w:pPr>
              <w:pStyle w:val="CellHeader"/>
              <w:jc w:val="center"/>
            </w:pPr>
            <w:r>
              <w:rPr>
                <w:rFonts w:cs="Times New Roman"/>
              </w:rPr>
              <w:t>Naziv aktivnosti</w:t>
            </w:r>
          </w:p>
        </w:tc>
        <w:tc>
          <w:tcPr>
            <w:tcW w:w="2041" w:type="dxa"/>
            <w:shd w:val="clear" w:color="auto" w:fill="B5C0D8"/>
          </w:tcPr>
          <w:p w14:paraId="7C78010B" w14:textId="77777777" w:rsidR="002452BB" w:rsidRDefault="00000000">
            <w:pPr>
              <w:pStyle w:val="CellHeader"/>
              <w:jc w:val="center"/>
            </w:pPr>
            <w:r>
              <w:rPr>
                <w:rFonts w:cs="Times New Roman"/>
              </w:rPr>
              <w:t>Izvršenje 2024. (eur)</w:t>
            </w:r>
          </w:p>
        </w:tc>
        <w:tc>
          <w:tcPr>
            <w:tcW w:w="2041" w:type="dxa"/>
            <w:shd w:val="clear" w:color="auto" w:fill="B5C0D8"/>
          </w:tcPr>
          <w:p w14:paraId="22CD0D8A" w14:textId="77777777" w:rsidR="002452BB" w:rsidRDefault="00000000">
            <w:pPr>
              <w:pStyle w:val="CellHeader"/>
              <w:jc w:val="center"/>
            </w:pPr>
            <w:r>
              <w:rPr>
                <w:rFonts w:cs="Times New Roman"/>
              </w:rPr>
              <w:t>Plan 2025. (eur)</w:t>
            </w:r>
          </w:p>
        </w:tc>
        <w:tc>
          <w:tcPr>
            <w:tcW w:w="2041" w:type="dxa"/>
            <w:shd w:val="clear" w:color="auto" w:fill="B5C0D8"/>
          </w:tcPr>
          <w:p w14:paraId="2F8D3B6E" w14:textId="77777777" w:rsidR="002452BB" w:rsidRDefault="00000000">
            <w:pPr>
              <w:pStyle w:val="CellHeader"/>
              <w:jc w:val="center"/>
            </w:pPr>
            <w:r>
              <w:rPr>
                <w:rFonts w:cs="Times New Roman"/>
              </w:rPr>
              <w:t>Izvršenje 2025. (eur)</w:t>
            </w:r>
          </w:p>
        </w:tc>
        <w:tc>
          <w:tcPr>
            <w:tcW w:w="1224" w:type="dxa"/>
            <w:shd w:val="clear" w:color="auto" w:fill="B5C0D8"/>
          </w:tcPr>
          <w:p w14:paraId="582DABB3" w14:textId="77777777" w:rsidR="002452BB" w:rsidRDefault="00000000">
            <w:pPr>
              <w:pStyle w:val="CellHeader"/>
              <w:jc w:val="center"/>
            </w:pPr>
            <w:r>
              <w:rPr>
                <w:rFonts w:cs="Times New Roman"/>
              </w:rPr>
              <w:t>Indeks izvršenje 2025./plan 2025.</w:t>
            </w:r>
          </w:p>
        </w:tc>
        <w:tc>
          <w:tcPr>
            <w:tcW w:w="1224" w:type="dxa"/>
            <w:shd w:val="clear" w:color="auto" w:fill="B5C0D8"/>
          </w:tcPr>
          <w:p w14:paraId="6B20C977" w14:textId="77777777" w:rsidR="002452BB" w:rsidRDefault="00000000">
            <w:pPr>
              <w:pStyle w:val="CellHeader"/>
              <w:jc w:val="center"/>
            </w:pPr>
            <w:r>
              <w:rPr>
                <w:rFonts w:cs="Times New Roman"/>
              </w:rPr>
              <w:t>Indeks izvršenje 2025./2024.</w:t>
            </w:r>
          </w:p>
        </w:tc>
      </w:tr>
      <w:tr w:rsidR="002452BB" w14:paraId="266911D2" w14:textId="77777777">
        <w:trPr>
          <w:jc w:val="center"/>
        </w:trPr>
        <w:tc>
          <w:tcPr>
            <w:tcW w:w="1632" w:type="dxa"/>
          </w:tcPr>
          <w:p w14:paraId="50EC47D4" w14:textId="77777777" w:rsidR="002452BB" w:rsidRDefault="00000000">
            <w:pPr>
              <w:pStyle w:val="CellColumn"/>
              <w:jc w:val="left"/>
            </w:pPr>
            <w:r>
              <w:rPr>
                <w:rFonts w:cs="Times New Roman"/>
              </w:rPr>
              <w:t>K754084-INTERREG VI-A ITALIJA - HRVATSKA PROJEKT DIGITPORTS - DIGITALNE DVOSTRUKE APLIKACIJE ZA SIGURNIJE I ZELENIJE POSLOVANJE LUKA  NA JADRANU</w:t>
            </w:r>
          </w:p>
        </w:tc>
        <w:tc>
          <w:tcPr>
            <w:tcW w:w="2041" w:type="dxa"/>
          </w:tcPr>
          <w:p w14:paraId="138C6031" w14:textId="77777777" w:rsidR="002452BB" w:rsidRDefault="00000000">
            <w:pPr>
              <w:pStyle w:val="CellColumn"/>
              <w:jc w:val="right"/>
            </w:pPr>
            <w:r>
              <w:rPr>
                <w:rFonts w:cs="Times New Roman"/>
              </w:rPr>
              <w:t>00</w:t>
            </w:r>
          </w:p>
        </w:tc>
        <w:tc>
          <w:tcPr>
            <w:tcW w:w="2041" w:type="dxa"/>
          </w:tcPr>
          <w:p w14:paraId="0B52F8EB" w14:textId="77777777" w:rsidR="002452BB" w:rsidRDefault="00000000">
            <w:pPr>
              <w:pStyle w:val="CellColumn"/>
              <w:jc w:val="right"/>
            </w:pPr>
            <w:r>
              <w:rPr>
                <w:rFonts w:cs="Times New Roman"/>
              </w:rPr>
              <w:t>175.100</w:t>
            </w:r>
          </w:p>
        </w:tc>
        <w:tc>
          <w:tcPr>
            <w:tcW w:w="2041" w:type="dxa"/>
          </w:tcPr>
          <w:p w14:paraId="0923FCEE" w14:textId="77777777" w:rsidR="002452BB" w:rsidRDefault="00000000">
            <w:pPr>
              <w:pStyle w:val="CellColumn"/>
              <w:jc w:val="right"/>
            </w:pPr>
            <w:r>
              <w:rPr>
                <w:rFonts w:cs="Times New Roman"/>
              </w:rPr>
              <w:t>58.451</w:t>
            </w:r>
          </w:p>
        </w:tc>
        <w:tc>
          <w:tcPr>
            <w:tcW w:w="1224" w:type="dxa"/>
          </w:tcPr>
          <w:p w14:paraId="44AAFAB8" w14:textId="77777777" w:rsidR="002452BB" w:rsidRDefault="00000000">
            <w:pPr>
              <w:pStyle w:val="CellColumn"/>
              <w:jc w:val="right"/>
            </w:pPr>
            <w:r>
              <w:rPr>
                <w:rFonts w:cs="Times New Roman"/>
              </w:rPr>
              <w:t>33,4</w:t>
            </w:r>
          </w:p>
        </w:tc>
        <w:tc>
          <w:tcPr>
            <w:tcW w:w="1224" w:type="dxa"/>
          </w:tcPr>
          <w:p w14:paraId="6E6150E3" w14:textId="77777777" w:rsidR="002452BB" w:rsidRDefault="00000000">
            <w:pPr>
              <w:pStyle w:val="CellColumn"/>
              <w:jc w:val="right"/>
            </w:pPr>
            <w:r>
              <w:rPr>
                <w:rFonts w:cs="Times New Roman"/>
              </w:rPr>
              <w:t>0,0</w:t>
            </w:r>
          </w:p>
        </w:tc>
      </w:tr>
    </w:tbl>
    <w:p w14:paraId="27DD7AC9" w14:textId="77777777" w:rsidR="002452BB" w:rsidRDefault="002452BB">
      <w:pPr>
        <w:jc w:val="left"/>
      </w:pPr>
    </w:p>
    <w:p w14:paraId="76BC2E28" w14:textId="77777777" w:rsidR="002452BB" w:rsidRDefault="00000000">
      <w:pPr>
        <w:pStyle w:val="Heading8"/>
        <w:jc w:val="left"/>
      </w:pPr>
      <w:r>
        <w:t>Zakonske i druge pravne osnove</w:t>
      </w:r>
    </w:p>
    <w:p w14:paraId="2C43BD21" w14:textId="77777777" w:rsidR="002452BB" w:rsidRDefault="00000000">
      <w:r>
        <w:t xml:space="preserve">- Zakon o uspostavi institucionalnog okvira za provedbu europskih strukturnih i investicijskih fondova u Hrvatskoj   </w:t>
      </w:r>
    </w:p>
    <w:p w14:paraId="3DBB538F" w14:textId="77777777" w:rsidR="002452BB" w:rsidRDefault="00000000">
      <w:r>
        <w:t>- Parterski sporazum za implementaciju projekta INTERREG VI-A Italija-  Hrvatska Projekt DIGITal Twins applications for safer and greener Adriatic PORTS operations (DIGITPORTS)</w:t>
      </w:r>
    </w:p>
    <w:p w14:paraId="5681741B" w14:textId="77777777" w:rsidR="002452BB" w:rsidRDefault="00000000">
      <w:pPr>
        <w:pStyle w:val="Heading8"/>
        <w:jc w:val="left"/>
      </w:pPr>
      <w:r>
        <w:t>Opis aktivnosti</w:t>
      </w:r>
    </w:p>
    <w:p w14:paraId="3F5023DF" w14:textId="15A9231D" w:rsidR="002452BB" w:rsidRDefault="00000000">
      <w:r>
        <w:t xml:space="preserve">Projekt INTERREG VI-A Italy–Hrvatska – DIGITPORTS (DIGITal Twins applications for safer and greener Adriatic PORTS operations) usmjeren je na digitalnu transformaciju jadranskih luka kroz primjenu tehnologije digitalnih blizanaca (Digital Twin) radi povećanja sigurnosti, učinkovitosti, održivosti i operativne otpornosti lučkih sustava te njihove bolje integracije u multimodalne logističke lance. Projekt je ugovoren u okviru programa Interreg Italy–Hrvatska , u sklopu Prioriteta 3 „Sustainable maritime and multimodal transport” i Specifičnog cilja 3.1, a početno razdoblje provedbe definirano je od 01.04.2024. do 30.09.2026. u trajanju od 30 mjeseci, uz planirano produljenje provedbe do 31.01.2027., koje je u postupku odobrenja. U okviru projektnih aktivnosti Lučka uprava Split provodi pilot-projekt razvoja digitalnog blizanca lučkog sustava na području bazena Gradska luka, kao najvećeg putničkog bazena u Republici Hrvatskoj i operativno najsloženijeg dijela luke s vrlo visokom gustoćom prometa, velikim brojem ticanja, izraženom sezonskom opterećenošću i povećanim zahtjevima koordinacije, nadzora i sigurnosti. Pilot aktivnost ima izniman značaj jer predstavlja uvođenje naprednog digitalnog alata za nadzor i upravljanje lučkim operacijama u stvarnom vremenu, uključujući praćenje zauzetosti vezova, evidenciju uplova, boravka i isplovljavanja plovila, integraciju vizualnih, senzorskih i komunikacijskih podataka te stvaranje pouzdane analitičke osnove za optimizaciju operativnih procesa, povećanje sigurnosti plovidbe i smanjenje rizika zagušenja i „near-miss“ situacija. Time se ne uspostavlja samo pojedinačno tehničko rješenje, nego i temelj za širu digitalizaciju lučkog sustava, interoperabilnost podataka i buduću nadogradnju upravljačkih i sigurnosnih funkcija u okviru dugoročnog razvoja luke..Niže izvršenje proračuna i manja ostvarena vrijednost pokazatelja rezultata u 2025. godini posljedica su činjenice da se Digital Twin pilot aktivnost nalazila u fazi intenzivne tehničke pripreme i integracijskog usklađenja, koja je prethodila operativnoj implementaciji i generiranju mjerljivih rezultata. S obzirom na visoku razinu kompleksnosti sustava koji uključuje integraciju više izvora podataka, sigurnosnih i operativnih funkcija u realnom vremenu te sudjelovanje većeg broja ustrojstvenih jedinica, bilo je nužno provesti detaljnu razradu tehničke </w:t>
      </w:r>
      <w:r>
        <w:lastRenderedPageBreak/>
        <w:t xml:space="preserve">arhitekture, definiranje funkcionalnih zahtjeva i validaciju sigurnosnih i operativnih parametara, što je u izvještajnom razdoblju dovršeno. Slijedom navedenog, financijska realizacija i ostvarenje pokazatelja rezultata pomaknuti su u 2026. godinu, kada započinje faza implementacije, uz očekivano produljenje trajanja projekta.U 2025. godini su podmirerni troškovi za  osoblje angažirano na projektu te  je izrađena tehnička dokumentacija za provedbu pilot aktivnosti projekata digiports od strane Metakod d.o.o. </w:t>
      </w:r>
    </w:p>
    <w:p w14:paraId="007D09B7"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062F25D0" w14:textId="77777777">
        <w:trPr>
          <w:jc w:val="center"/>
        </w:trPr>
        <w:tc>
          <w:tcPr>
            <w:tcW w:w="2551" w:type="dxa"/>
            <w:shd w:val="clear" w:color="auto" w:fill="B5C0D8"/>
          </w:tcPr>
          <w:p w14:paraId="57EA73F1" w14:textId="77777777" w:rsidR="002452BB" w:rsidRDefault="00000000">
            <w:pPr>
              <w:jc w:val="center"/>
            </w:pPr>
            <w:r>
              <w:t>Pokazatelj rezultata</w:t>
            </w:r>
          </w:p>
        </w:tc>
        <w:tc>
          <w:tcPr>
            <w:tcW w:w="2551" w:type="dxa"/>
            <w:shd w:val="clear" w:color="auto" w:fill="B5C0D8"/>
          </w:tcPr>
          <w:p w14:paraId="586EC2D0" w14:textId="77777777" w:rsidR="002452BB" w:rsidRDefault="00000000">
            <w:pPr>
              <w:pStyle w:val="CellHeader"/>
              <w:jc w:val="center"/>
            </w:pPr>
            <w:r>
              <w:rPr>
                <w:rFonts w:cs="Times New Roman"/>
              </w:rPr>
              <w:t>Definicija</w:t>
            </w:r>
          </w:p>
        </w:tc>
        <w:tc>
          <w:tcPr>
            <w:tcW w:w="1020" w:type="dxa"/>
            <w:shd w:val="clear" w:color="auto" w:fill="B5C0D8"/>
          </w:tcPr>
          <w:p w14:paraId="2C3477D6" w14:textId="77777777" w:rsidR="002452BB" w:rsidRDefault="00000000">
            <w:pPr>
              <w:pStyle w:val="CellHeader"/>
              <w:jc w:val="center"/>
            </w:pPr>
            <w:r>
              <w:rPr>
                <w:rFonts w:cs="Times New Roman"/>
              </w:rPr>
              <w:t>Jedinica</w:t>
            </w:r>
          </w:p>
        </w:tc>
        <w:tc>
          <w:tcPr>
            <w:tcW w:w="1020" w:type="dxa"/>
            <w:shd w:val="clear" w:color="auto" w:fill="B5C0D8"/>
          </w:tcPr>
          <w:p w14:paraId="73E61126" w14:textId="77777777" w:rsidR="002452BB" w:rsidRDefault="00000000">
            <w:pPr>
              <w:pStyle w:val="CellHeader"/>
              <w:jc w:val="center"/>
            </w:pPr>
            <w:r>
              <w:rPr>
                <w:rFonts w:cs="Times New Roman"/>
              </w:rPr>
              <w:t>Polazna vrijednost</w:t>
            </w:r>
          </w:p>
        </w:tc>
        <w:tc>
          <w:tcPr>
            <w:tcW w:w="1020" w:type="dxa"/>
            <w:shd w:val="clear" w:color="auto" w:fill="B5C0D8"/>
          </w:tcPr>
          <w:p w14:paraId="5C2CD8C9" w14:textId="77777777" w:rsidR="002452BB" w:rsidRDefault="00000000">
            <w:pPr>
              <w:pStyle w:val="CellHeader"/>
              <w:jc w:val="center"/>
            </w:pPr>
            <w:r>
              <w:rPr>
                <w:rFonts w:cs="Times New Roman"/>
              </w:rPr>
              <w:t>Izvor podataka</w:t>
            </w:r>
          </w:p>
        </w:tc>
        <w:tc>
          <w:tcPr>
            <w:tcW w:w="1020" w:type="dxa"/>
            <w:shd w:val="clear" w:color="auto" w:fill="B5C0D8"/>
          </w:tcPr>
          <w:p w14:paraId="3F858C22" w14:textId="77777777" w:rsidR="002452BB" w:rsidRDefault="00000000">
            <w:pPr>
              <w:pStyle w:val="CellHeader"/>
              <w:jc w:val="center"/>
            </w:pPr>
            <w:r>
              <w:rPr>
                <w:rFonts w:cs="Times New Roman"/>
              </w:rPr>
              <w:t>Ciljana vrijednost (2025.)</w:t>
            </w:r>
          </w:p>
        </w:tc>
        <w:tc>
          <w:tcPr>
            <w:tcW w:w="1020" w:type="dxa"/>
            <w:shd w:val="clear" w:color="auto" w:fill="B5C0D8"/>
          </w:tcPr>
          <w:p w14:paraId="015DCA86" w14:textId="77777777" w:rsidR="002452BB" w:rsidRDefault="00000000">
            <w:pPr>
              <w:pStyle w:val="CellHeader"/>
              <w:jc w:val="center"/>
            </w:pPr>
            <w:r>
              <w:rPr>
                <w:rFonts w:cs="Times New Roman"/>
              </w:rPr>
              <w:t>Ostvarena vrijednost (2025.)</w:t>
            </w:r>
          </w:p>
        </w:tc>
      </w:tr>
      <w:tr w:rsidR="002452BB" w14:paraId="6401D7EA" w14:textId="77777777">
        <w:trPr>
          <w:jc w:val="center"/>
        </w:trPr>
        <w:tc>
          <w:tcPr>
            <w:tcW w:w="2551" w:type="dxa"/>
          </w:tcPr>
          <w:p w14:paraId="59CA59B4" w14:textId="77777777" w:rsidR="002452BB" w:rsidRDefault="00000000">
            <w:pPr>
              <w:pStyle w:val="CellColumn"/>
              <w:jc w:val="left"/>
            </w:pPr>
            <w:r>
              <w:rPr>
                <w:rFonts w:cs="Times New Roman"/>
              </w:rPr>
              <w:t>Stupanj digitalnog  praćenja zauzetosti vezova za prihvat brodova</w:t>
            </w:r>
          </w:p>
        </w:tc>
        <w:tc>
          <w:tcPr>
            <w:tcW w:w="2551" w:type="dxa"/>
          </w:tcPr>
          <w:p w14:paraId="42E03C1E" w14:textId="77777777" w:rsidR="002452BB" w:rsidRDefault="00000000">
            <w:pPr>
              <w:pStyle w:val="CellColumn"/>
              <w:jc w:val="left"/>
            </w:pPr>
            <w:r>
              <w:rPr>
                <w:rFonts w:cs="Times New Roman"/>
              </w:rPr>
              <w:t>Poboljšanje digitalizacije u jadranskim lukama</w:t>
            </w:r>
          </w:p>
        </w:tc>
        <w:tc>
          <w:tcPr>
            <w:tcW w:w="1020" w:type="dxa"/>
          </w:tcPr>
          <w:p w14:paraId="2F6F30CD" w14:textId="77777777" w:rsidR="002452BB" w:rsidRDefault="00000000">
            <w:pPr>
              <w:pStyle w:val="CellColumn"/>
              <w:jc w:val="right"/>
            </w:pPr>
            <w:r>
              <w:rPr>
                <w:rFonts w:cs="Times New Roman"/>
              </w:rPr>
              <w:t>%</w:t>
            </w:r>
          </w:p>
        </w:tc>
        <w:tc>
          <w:tcPr>
            <w:tcW w:w="1020" w:type="dxa"/>
          </w:tcPr>
          <w:p w14:paraId="57B00382" w14:textId="77777777" w:rsidR="002452BB" w:rsidRDefault="00000000">
            <w:pPr>
              <w:pStyle w:val="CellColumn"/>
              <w:jc w:val="right"/>
            </w:pPr>
            <w:r>
              <w:rPr>
                <w:rFonts w:cs="Times New Roman"/>
              </w:rPr>
              <w:t>0</w:t>
            </w:r>
          </w:p>
        </w:tc>
        <w:tc>
          <w:tcPr>
            <w:tcW w:w="1020" w:type="dxa"/>
          </w:tcPr>
          <w:p w14:paraId="168386AB" w14:textId="77777777" w:rsidR="002452BB" w:rsidRDefault="00000000">
            <w:pPr>
              <w:pStyle w:val="CellColumn"/>
              <w:jc w:val="right"/>
            </w:pPr>
            <w:r>
              <w:rPr>
                <w:rFonts w:cs="Times New Roman"/>
              </w:rPr>
              <w:t>Lučka uprava SPlit</w:t>
            </w:r>
          </w:p>
        </w:tc>
        <w:tc>
          <w:tcPr>
            <w:tcW w:w="1020" w:type="dxa"/>
          </w:tcPr>
          <w:p w14:paraId="4ED20BF0" w14:textId="77777777" w:rsidR="002452BB" w:rsidRDefault="00000000">
            <w:pPr>
              <w:pStyle w:val="CellColumn"/>
              <w:jc w:val="right"/>
            </w:pPr>
            <w:r>
              <w:rPr>
                <w:rFonts w:cs="Times New Roman"/>
              </w:rPr>
              <w:t>60</w:t>
            </w:r>
          </w:p>
        </w:tc>
        <w:tc>
          <w:tcPr>
            <w:tcW w:w="1020" w:type="dxa"/>
          </w:tcPr>
          <w:p w14:paraId="6B20CA68" w14:textId="77777777" w:rsidR="002452BB" w:rsidRDefault="00000000">
            <w:pPr>
              <w:pStyle w:val="CellColumn"/>
              <w:jc w:val="right"/>
            </w:pPr>
            <w:r>
              <w:rPr>
                <w:rFonts w:cs="Times New Roman"/>
              </w:rPr>
              <w:t>30</w:t>
            </w:r>
          </w:p>
        </w:tc>
      </w:tr>
    </w:tbl>
    <w:p w14:paraId="35C507A5" w14:textId="77777777" w:rsidR="002452BB" w:rsidRDefault="002452BB">
      <w:pPr>
        <w:jc w:val="left"/>
      </w:pPr>
    </w:p>
    <w:p w14:paraId="62C32466" w14:textId="77777777" w:rsidR="002452BB" w:rsidRDefault="00000000">
      <w:pPr>
        <w:pStyle w:val="Heading4"/>
      </w:pPr>
      <w:r>
        <w:t>K754085 INTERREG VI-A-ITALIJA –HRVATSKA PROJEKT FISHNOWASTE - SMANJENJE I UPRAVLJANJE OTPADOM U RIBARSKIM LUKAMA JADRANSKOG MORA ZA PROMICANJE ODRŽIVOG RIBARSTVA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1409150D" w14:textId="77777777">
        <w:trPr>
          <w:jc w:val="center"/>
        </w:trPr>
        <w:tc>
          <w:tcPr>
            <w:tcW w:w="1632" w:type="dxa"/>
            <w:shd w:val="clear" w:color="auto" w:fill="B5C0D8"/>
          </w:tcPr>
          <w:p w14:paraId="735846A0" w14:textId="77777777" w:rsidR="002452BB" w:rsidRDefault="00000000">
            <w:pPr>
              <w:pStyle w:val="CellHeader"/>
              <w:jc w:val="center"/>
            </w:pPr>
            <w:r>
              <w:rPr>
                <w:rFonts w:cs="Times New Roman"/>
              </w:rPr>
              <w:t>Naziv aktivnosti</w:t>
            </w:r>
          </w:p>
        </w:tc>
        <w:tc>
          <w:tcPr>
            <w:tcW w:w="2041" w:type="dxa"/>
            <w:shd w:val="clear" w:color="auto" w:fill="B5C0D8"/>
          </w:tcPr>
          <w:p w14:paraId="1C9A65B5" w14:textId="77777777" w:rsidR="002452BB" w:rsidRDefault="00000000">
            <w:pPr>
              <w:pStyle w:val="CellHeader"/>
              <w:jc w:val="center"/>
            </w:pPr>
            <w:r>
              <w:rPr>
                <w:rFonts w:cs="Times New Roman"/>
              </w:rPr>
              <w:t>Izvršenje 2024. (eur)</w:t>
            </w:r>
          </w:p>
        </w:tc>
        <w:tc>
          <w:tcPr>
            <w:tcW w:w="2041" w:type="dxa"/>
            <w:shd w:val="clear" w:color="auto" w:fill="B5C0D8"/>
          </w:tcPr>
          <w:p w14:paraId="6A3C94B6" w14:textId="77777777" w:rsidR="002452BB" w:rsidRDefault="00000000">
            <w:pPr>
              <w:pStyle w:val="CellHeader"/>
              <w:jc w:val="center"/>
            </w:pPr>
            <w:r>
              <w:rPr>
                <w:rFonts w:cs="Times New Roman"/>
              </w:rPr>
              <w:t>Plan 2025. (eur)</w:t>
            </w:r>
          </w:p>
        </w:tc>
        <w:tc>
          <w:tcPr>
            <w:tcW w:w="2041" w:type="dxa"/>
            <w:shd w:val="clear" w:color="auto" w:fill="B5C0D8"/>
          </w:tcPr>
          <w:p w14:paraId="312200A8" w14:textId="77777777" w:rsidR="002452BB" w:rsidRDefault="00000000">
            <w:pPr>
              <w:pStyle w:val="CellHeader"/>
              <w:jc w:val="center"/>
            </w:pPr>
            <w:r>
              <w:rPr>
                <w:rFonts w:cs="Times New Roman"/>
              </w:rPr>
              <w:t>Izvršenje 2025. (eur)</w:t>
            </w:r>
          </w:p>
        </w:tc>
        <w:tc>
          <w:tcPr>
            <w:tcW w:w="1224" w:type="dxa"/>
            <w:shd w:val="clear" w:color="auto" w:fill="B5C0D8"/>
          </w:tcPr>
          <w:p w14:paraId="007FEE26" w14:textId="77777777" w:rsidR="002452BB" w:rsidRDefault="00000000">
            <w:pPr>
              <w:pStyle w:val="CellHeader"/>
              <w:jc w:val="center"/>
            </w:pPr>
            <w:r>
              <w:rPr>
                <w:rFonts w:cs="Times New Roman"/>
              </w:rPr>
              <w:t>Indeks izvršenje 2025./plan 2025.</w:t>
            </w:r>
          </w:p>
        </w:tc>
        <w:tc>
          <w:tcPr>
            <w:tcW w:w="1224" w:type="dxa"/>
            <w:shd w:val="clear" w:color="auto" w:fill="B5C0D8"/>
          </w:tcPr>
          <w:p w14:paraId="46DFD55C" w14:textId="77777777" w:rsidR="002452BB" w:rsidRDefault="00000000">
            <w:pPr>
              <w:pStyle w:val="CellHeader"/>
              <w:jc w:val="center"/>
            </w:pPr>
            <w:r>
              <w:rPr>
                <w:rFonts w:cs="Times New Roman"/>
              </w:rPr>
              <w:t>Indeks izvršenje 2025./2024.</w:t>
            </w:r>
          </w:p>
        </w:tc>
      </w:tr>
      <w:tr w:rsidR="002452BB" w14:paraId="609C5A4F" w14:textId="77777777">
        <w:trPr>
          <w:jc w:val="center"/>
        </w:trPr>
        <w:tc>
          <w:tcPr>
            <w:tcW w:w="1632" w:type="dxa"/>
          </w:tcPr>
          <w:p w14:paraId="3B793E82" w14:textId="77777777" w:rsidR="002452BB" w:rsidRDefault="00000000">
            <w:pPr>
              <w:pStyle w:val="CellColumn"/>
              <w:jc w:val="left"/>
            </w:pPr>
            <w:r>
              <w:rPr>
                <w:rFonts w:cs="Times New Roman"/>
              </w:rPr>
              <w:t>K754085-INTERREG VI-A-ITALIJA –HRVATSKA PROJEKT FISHNOWASTE - SMANJENJE I UPRAVLJANJE OTPADOM U RIBARSKIM LUKAMA JADRANSKOG MORA ZA PROMICANJE ODRŽIVOG RIBARSTVA</w:t>
            </w:r>
          </w:p>
        </w:tc>
        <w:tc>
          <w:tcPr>
            <w:tcW w:w="2041" w:type="dxa"/>
          </w:tcPr>
          <w:p w14:paraId="355FD034" w14:textId="77777777" w:rsidR="002452BB" w:rsidRDefault="00000000">
            <w:pPr>
              <w:pStyle w:val="CellColumn"/>
              <w:jc w:val="right"/>
            </w:pPr>
            <w:r>
              <w:rPr>
                <w:rFonts w:cs="Times New Roman"/>
              </w:rPr>
              <w:t>00</w:t>
            </w:r>
          </w:p>
        </w:tc>
        <w:tc>
          <w:tcPr>
            <w:tcW w:w="2041" w:type="dxa"/>
          </w:tcPr>
          <w:p w14:paraId="37C31F9A" w14:textId="77777777" w:rsidR="002452BB" w:rsidRDefault="00000000">
            <w:pPr>
              <w:pStyle w:val="CellColumn"/>
              <w:jc w:val="right"/>
            </w:pPr>
            <w:r>
              <w:rPr>
                <w:rFonts w:cs="Times New Roman"/>
              </w:rPr>
              <w:t>124.030</w:t>
            </w:r>
          </w:p>
        </w:tc>
        <w:tc>
          <w:tcPr>
            <w:tcW w:w="2041" w:type="dxa"/>
          </w:tcPr>
          <w:p w14:paraId="53A02013" w14:textId="77777777" w:rsidR="002452BB" w:rsidRDefault="00000000">
            <w:pPr>
              <w:pStyle w:val="CellColumn"/>
              <w:jc w:val="right"/>
            </w:pPr>
            <w:r>
              <w:rPr>
                <w:rFonts w:cs="Times New Roman"/>
              </w:rPr>
              <w:t>26.500</w:t>
            </w:r>
          </w:p>
        </w:tc>
        <w:tc>
          <w:tcPr>
            <w:tcW w:w="1224" w:type="dxa"/>
          </w:tcPr>
          <w:p w14:paraId="40FB5D88" w14:textId="77777777" w:rsidR="002452BB" w:rsidRDefault="00000000">
            <w:pPr>
              <w:pStyle w:val="CellColumn"/>
              <w:jc w:val="right"/>
            </w:pPr>
            <w:r>
              <w:rPr>
                <w:rFonts w:cs="Times New Roman"/>
              </w:rPr>
              <w:t>21,4</w:t>
            </w:r>
          </w:p>
        </w:tc>
        <w:tc>
          <w:tcPr>
            <w:tcW w:w="1224" w:type="dxa"/>
          </w:tcPr>
          <w:p w14:paraId="06400214" w14:textId="77777777" w:rsidR="002452BB" w:rsidRDefault="00000000">
            <w:pPr>
              <w:pStyle w:val="CellColumn"/>
              <w:jc w:val="right"/>
            </w:pPr>
            <w:r>
              <w:rPr>
                <w:rFonts w:cs="Times New Roman"/>
              </w:rPr>
              <w:t>0,0</w:t>
            </w:r>
          </w:p>
        </w:tc>
      </w:tr>
    </w:tbl>
    <w:p w14:paraId="69416682" w14:textId="77777777" w:rsidR="002452BB" w:rsidRDefault="002452BB">
      <w:pPr>
        <w:jc w:val="left"/>
      </w:pPr>
    </w:p>
    <w:p w14:paraId="0D0672F4" w14:textId="77777777" w:rsidR="002452BB" w:rsidRDefault="00000000">
      <w:pPr>
        <w:pStyle w:val="Heading8"/>
        <w:jc w:val="left"/>
      </w:pPr>
      <w:r>
        <w:t>Zakonske i druge pravne osnove</w:t>
      </w:r>
    </w:p>
    <w:p w14:paraId="4B74B96E" w14:textId="77777777" w:rsidR="002452BB" w:rsidRDefault="00000000">
      <w:r>
        <w:t xml:space="preserve">- Zakon o uspostavi institucionalnog okvira za provedbu europskih strukturnih i investicijskih fondova u Hrvatskoj   </w:t>
      </w:r>
    </w:p>
    <w:p w14:paraId="57FA930A" w14:textId="77777777" w:rsidR="002452BB" w:rsidRDefault="00000000">
      <w:r>
        <w:t>- Parterski sporazum za implementaciju projekta INTERREG VI-A Italija-  Hrvatska FISHNOWASTE - SMANJENJE I UPRAVLJANJE OTPADOM U RIBARSKIM LUKAMA JADRANSKOG MORA ZA PROMICANJE ODRŽIVOG RIBARSTVA</w:t>
      </w:r>
    </w:p>
    <w:p w14:paraId="42E7DDEB" w14:textId="77777777" w:rsidR="002452BB" w:rsidRDefault="00000000">
      <w:pPr>
        <w:pStyle w:val="Heading8"/>
        <w:jc w:val="left"/>
      </w:pPr>
      <w:r>
        <w:t>Opis aktivnosti</w:t>
      </w:r>
    </w:p>
    <w:p w14:paraId="543960CE" w14:textId="02A8F7B8" w:rsidR="002452BB" w:rsidRDefault="00000000">
      <w:r>
        <w:t xml:space="preserve">Projekt INTERREG VI-A Italy–Hrvatska  – FishNoWaste (Waste reduction and management in fishing ports of the Adriatic Sea to promote sustainable fisheries) usmjeren je na smanjenje nastanka otpada i unaprjeđenje sustava gospodarenja otpadom u ribarskim lukama Jadranskog mora, s naglaskom na smanjenje plastičnog otpada, razvoj modela kružnog gospodarstva te jačanje zaštite morskog okoliša i bioraznolikosti. Projekt je ugovoren u okviru programa Interreg Italy–Croatia (Prioritet 2, SO 2.2) te traje od 01.02.2024. do 31.07.2026. (30 mjeseci). U okviru projektnih aktivnosti Lučka uprava Split sudjeluje u provedbi pilot aktivnosti u ribarskoj luci Brižine, usmjerenih na uspostavu i testiranje naprednih modela gospodarenja otpadom u specifičnim operativnim uvjetima ribarskih luka, uključujući optimizaciju prikupljanja, razvrstavanja i obrade otpada nastalog u ribarskim aktivnostima. U izvještajnom razdoblju dio aktivnosti proveden je vlastitim kapacitetima, prvenstveno kroz pripremne, analitičke i </w:t>
      </w:r>
      <w:r>
        <w:lastRenderedPageBreak/>
        <w:t xml:space="preserve">koordinacijske aktivnosti, dok su aktivnosti s većim financijskim učinkom vezane uz implementaciju pilot rješenja uvjetovane dovršetkom tehničke dokumentacije i definiranjem konačnog opsega provedbe. Nakon provedbe studije izvedivosti i usklađenja s realnim tržišnim uvjetima te tehničkim i sigurnosnim zahtjevima provedbe u operativnom lučkom okruženju, utvrđena je potreba prilagodbe proračunske alokacije pilot aktivnosti, pri čemu je kroz internu preraspodjelu unutar odobrenog proračuna partnera osigurano dodatnih 50.000 </w:t>
      </w:r>
      <w:r w:rsidR="002E31C8">
        <w:t xml:space="preserve">€ </w:t>
      </w:r>
      <w:r>
        <w:t>bez povećanja ukupnog proračuna projekta. Dinamika izvršenja stoga je uvjetovana objektivnim okolnostima provedbe, uključujući faznost projektnih aktivnosti, specifičnosti provedbe u ribarskoj luci te potrebu osiguranja pune tehničke, sigurnosne i regulatorne usklađenosti pilot rješenja.</w:t>
      </w:r>
      <w:r w:rsidR="00041164">
        <w:t xml:space="preserve"> </w:t>
      </w:r>
      <w:r>
        <w:t xml:space="preserve">Sukladno načelima učinkovitog i svrhovitog korištenja sredstava propisanim proračunskim okvirom, preostali dio aktivnosti izvršit će se u narednom razdoblju radi osiguranja njihove potpune funkcionalne i vremenske optimizacije te usklađenosti s pravilima prihvatljivosti troškova. </w:t>
      </w:r>
    </w:p>
    <w:p w14:paraId="12F4A5A7"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7C812586" w14:textId="77777777">
        <w:trPr>
          <w:jc w:val="center"/>
        </w:trPr>
        <w:tc>
          <w:tcPr>
            <w:tcW w:w="2551" w:type="dxa"/>
            <w:shd w:val="clear" w:color="auto" w:fill="B5C0D8"/>
          </w:tcPr>
          <w:p w14:paraId="4E83C07F" w14:textId="77777777" w:rsidR="002452BB" w:rsidRDefault="00000000">
            <w:pPr>
              <w:jc w:val="center"/>
            </w:pPr>
            <w:r>
              <w:t>Pokazatelj rezultata</w:t>
            </w:r>
          </w:p>
        </w:tc>
        <w:tc>
          <w:tcPr>
            <w:tcW w:w="2551" w:type="dxa"/>
            <w:shd w:val="clear" w:color="auto" w:fill="B5C0D8"/>
          </w:tcPr>
          <w:p w14:paraId="2F7CB742" w14:textId="77777777" w:rsidR="002452BB" w:rsidRDefault="00000000">
            <w:pPr>
              <w:pStyle w:val="CellHeader"/>
              <w:jc w:val="center"/>
            </w:pPr>
            <w:r>
              <w:rPr>
                <w:rFonts w:cs="Times New Roman"/>
              </w:rPr>
              <w:t>Definicija</w:t>
            </w:r>
          </w:p>
        </w:tc>
        <w:tc>
          <w:tcPr>
            <w:tcW w:w="1020" w:type="dxa"/>
            <w:shd w:val="clear" w:color="auto" w:fill="B5C0D8"/>
          </w:tcPr>
          <w:p w14:paraId="5E8F20C3" w14:textId="77777777" w:rsidR="002452BB" w:rsidRDefault="00000000">
            <w:pPr>
              <w:pStyle w:val="CellHeader"/>
              <w:jc w:val="center"/>
            </w:pPr>
            <w:r>
              <w:rPr>
                <w:rFonts w:cs="Times New Roman"/>
              </w:rPr>
              <w:t>Jedinica</w:t>
            </w:r>
          </w:p>
        </w:tc>
        <w:tc>
          <w:tcPr>
            <w:tcW w:w="1020" w:type="dxa"/>
            <w:shd w:val="clear" w:color="auto" w:fill="B5C0D8"/>
          </w:tcPr>
          <w:p w14:paraId="33E8C51D" w14:textId="77777777" w:rsidR="002452BB" w:rsidRDefault="00000000">
            <w:pPr>
              <w:pStyle w:val="CellHeader"/>
              <w:jc w:val="center"/>
            </w:pPr>
            <w:r>
              <w:rPr>
                <w:rFonts w:cs="Times New Roman"/>
              </w:rPr>
              <w:t>Polazna vrijednost</w:t>
            </w:r>
          </w:p>
        </w:tc>
        <w:tc>
          <w:tcPr>
            <w:tcW w:w="1020" w:type="dxa"/>
            <w:shd w:val="clear" w:color="auto" w:fill="B5C0D8"/>
          </w:tcPr>
          <w:p w14:paraId="03DEAF13" w14:textId="77777777" w:rsidR="002452BB" w:rsidRDefault="00000000">
            <w:pPr>
              <w:pStyle w:val="CellHeader"/>
              <w:jc w:val="center"/>
            </w:pPr>
            <w:r>
              <w:rPr>
                <w:rFonts w:cs="Times New Roman"/>
              </w:rPr>
              <w:t>Izvor podataka</w:t>
            </w:r>
          </w:p>
        </w:tc>
        <w:tc>
          <w:tcPr>
            <w:tcW w:w="1020" w:type="dxa"/>
            <w:shd w:val="clear" w:color="auto" w:fill="B5C0D8"/>
          </w:tcPr>
          <w:p w14:paraId="10EF0E99" w14:textId="77777777" w:rsidR="002452BB" w:rsidRDefault="00000000">
            <w:pPr>
              <w:pStyle w:val="CellHeader"/>
              <w:jc w:val="center"/>
            </w:pPr>
            <w:r>
              <w:rPr>
                <w:rFonts w:cs="Times New Roman"/>
              </w:rPr>
              <w:t>Ciljana vrijednost (2025.)</w:t>
            </w:r>
          </w:p>
        </w:tc>
        <w:tc>
          <w:tcPr>
            <w:tcW w:w="1020" w:type="dxa"/>
            <w:shd w:val="clear" w:color="auto" w:fill="B5C0D8"/>
          </w:tcPr>
          <w:p w14:paraId="3E0FBAE1" w14:textId="77777777" w:rsidR="002452BB" w:rsidRDefault="00000000">
            <w:pPr>
              <w:pStyle w:val="CellHeader"/>
              <w:jc w:val="center"/>
            </w:pPr>
            <w:r>
              <w:rPr>
                <w:rFonts w:cs="Times New Roman"/>
              </w:rPr>
              <w:t>Ostvarena vrijednost (2025.)</w:t>
            </w:r>
          </w:p>
        </w:tc>
      </w:tr>
      <w:tr w:rsidR="002452BB" w14:paraId="3041A67D" w14:textId="77777777">
        <w:trPr>
          <w:jc w:val="center"/>
        </w:trPr>
        <w:tc>
          <w:tcPr>
            <w:tcW w:w="2551" w:type="dxa"/>
          </w:tcPr>
          <w:p w14:paraId="01897314" w14:textId="77777777" w:rsidR="002452BB" w:rsidRDefault="00000000">
            <w:pPr>
              <w:pStyle w:val="CellColumn"/>
              <w:jc w:val="left"/>
            </w:pPr>
            <w:r>
              <w:rPr>
                <w:rFonts w:cs="Times New Roman"/>
              </w:rPr>
              <w:t>Stupanj izrade studije  istraživanja tržišta i učinkovitosti smanjenja onečišćenja u ribarskim lukama</w:t>
            </w:r>
          </w:p>
        </w:tc>
        <w:tc>
          <w:tcPr>
            <w:tcW w:w="2551" w:type="dxa"/>
          </w:tcPr>
          <w:p w14:paraId="1110813D" w14:textId="77777777" w:rsidR="002452BB" w:rsidRDefault="00000000">
            <w:pPr>
              <w:pStyle w:val="CellColumn"/>
              <w:jc w:val="left"/>
            </w:pPr>
            <w:r>
              <w:rPr>
                <w:rFonts w:cs="Times New Roman"/>
              </w:rPr>
              <w:t>Smanjenja onečišćenja u ribarskim lukama</w:t>
            </w:r>
          </w:p>
        </w:tc>
        <w:tc>
          <w:tcPr>
            <w:tcW w:w="1020" w:type="dxa"/>
          </w:tcPr>
          <w:p w14:paraId="413AB2C4" w14:textId="77777777" w:rsidR="002452BB" w:rsidRDefault="00000000">
            <w:pPr>
              <w:pStyle w:val="CellColumn"/>
              <w:jc w:val="right"/>
            </w:pPr>
            <w:r>
              <w:rPr>
                <w:rFonts w:cs="Times New Roman"/>
              </w:rPr>
              <w:t>%</w:t>
            </w:r>
          </w:p>
        </w:tc>
        <w:tc>
          <w:tcPr>
            <w:tcW w:w="1020" w:type="dxa"/>
          </w:tcPr>
          <w:p w14:paraId="03E8D1A0" w14:textId="77777777" w:rsidR="002452BB" w:rsidRDefault="00000000">
            <w:pPr>
              <w:pStyle w:val="CellColumn"/>
              <w:jc w:val="right"/>
            </w:pPr>
            <w:r>
              <w:rPr>
                <w:rFonts w:cs="Times New Roman"/>
              </w:rPr>
              <w:t>0</w:t>
            </w:r>
          </w:p>
        </w:tc>
        <w:tc>
          <w:tcPr>
            <w:tcW w:w="1020" w:type="dxa"/>
          </w:tcPr>
          <w:p w14:paraId="15BE9CC7" w14:textId="77777777" w:rsidR="002452BB" w:rsidRDefault="00000000">
            <w:pPr>
              <w:pStyle w:val="CellColumn"/>
              <w:jc w:val="right"/>
            </w:pPr>
            <w:r>
              <w:rPr>
                <w:rFonts w:cs="Times New Roman"/>
              </w:rPr>
              <w:t>Lučka uprava Split</w:t>
            </w:r>
          </w:p>
        </w:tc>
        <w:tc>
          <w:tcPr>
            <w:tcW w:w="1020" w:type="dxa"/>
          </w:tcPr>
          <w:p w14:paraId="4C9133DE" w14:textId="77777777" w:rsidR="002452BB" w:rsidRDefault="00000000">
            <w:pPr>
              <w:pStyle w:val="CellColumn"/>
              <w:jc w:val="right"/>
            </w:pPr>
            <w:r>
              <w:rPr>
                <w:rFonts w:cs="Times New Roman"/>
              </w:rPr>
              <w:t>40</w:t>
            </w:r>
          </w:p>
        </w:tc>
        <w:tc>
          <w:tcPr>
            <w:tcW w:w="1020" w:type="dxa"/>
          </w:tcPr>
          <w:p w14:paraId="797FA09D" w14:textId="77777777" w:rsidR="002452BB" w:rsidRDefault="00000000">
            <w:pPr>
              <w:pStyle w:val="CellColumn"/>
              <w:jc w:val="right"/>
            </w:pPr>
            <w:r>
              <w:rPr>
                <w:rFonts w:cs="Times New Roman"/>
              </w:rPr>
              <w:t>20</w:t>
            </w:r>
          </w:p>
        </w:tc>
      </w:tr>
    </w:tbl>
    <w:p w14:paraId="619CE233" w14:textId="77777777" w:rsidR="002452BB" w:rsidRDefault="002452BB">
      <w:pPr>
        <w:jc w:val="left"/>
      </w:pPr>
    </w:p>
    <w:p w14:paraId="5A9EA1BB" w14:textId="77777777" w:rsidR="002452BB" w:rsidRDefault="00000000">
      <w:pPr>
        <w:pStyle w:val="Heading4"/>
      </w:pPr>
      <w:r>
        <w:t>T754028 PROJEKT IZGRADNJE VANJSKIH VEZOVA NA GLAVNOM LUKOBRANU U GRADSKOJ LUCI SPLIT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2452BB" w14:paraId="20EB6EB6" w14:textId="77777777">
        <w:trPr>
          <w:jc w:val="center"/>
        </w:trPr>
        <w:tc>
          <w:tcPr>
            <w:tcW w:w="1632" w:type="dxa"/>
            <w:shd w:val="clear" w:color="auto" w:fill="B5C0D8"/>
          </w:tcPr>
          <w:p w14:paraId="12AF6FA8" w14:textId="77777777" w:rsidR="002452BB" w:rsidRDefault="00000000">
            <w:pPr>
              <w:pStyle w:val="CellHeader"/>
              <w:jc w:val="center"/>
            </w:pPr>
            <w:r>
              <w:rPr>
                <w:rFonts w:cs="Times New Roman"/>
              </w:rPr>
              <w:t>Naziv aktivnosti</w:t>
            </w:r>
          </w:p>
        </w:tc>
        <w:tc>
          <w:tcPr>
            <w:tcW w:w="2041" w:type="dxa"/>
            <w:shd w:val="clear" w:color="auto" w:fill="B5C0D8"/>
          </w:tcPr>
          <w:p w14:paraId="6F5B4902" w14:textId="77777777" w:rsidR="002452BB" w:rsidRDefault="00000000">
            <w:pPr>
              <w:pStyle w:val="CellHeader"/>
              <w:jc w:val="center"/>
            </w:pPr>
            <w:r>
              <w:rPr>
                <w:rFonts w:cs="Times New Roman"/>
              </w:rPr>
              <w:t>Izvršenje 2024. (eur)</w:t>
            </w:r>
          </w:p>
        </w:tc>
        <w:tc>
          <w:tcPr>
            <w:tcW w:w="2041" w:type="dxa"/>
            <w:shd w:val="clear" w:color="auto" w:fill="B5C0D8"/>
          </w:tcPr>
          <w:p w14:paraId="1C0CCEC9" w14:textId="77777777" w:rsidR="002452BB" w:rsidRDefault="00000000">
            <w:pPr>
              <w:pStyle w:val="CellHeader"/>
              <w:jc w:val="center"/>
            </w:pPr>
            <w:r>
              <w:rPr>
                <w:rFonts w:cs="Times New Roman"/>
              </w:rPr>
              <w:t>Plan 2025. (eur)</w:t>
            </w:r>
          </w:p>
        </w:tc>
        <w:tc>
          <w:tcPr>
            <w:tcW w:w="2041" w:type="dxa"/>
            <w:shd w:val="clear" w:color="auto" w:fill="B5C0D8"/>
          </w:tcPr>
          <w:p w14:paraId="3265AEA4" w14:textId="77777777" w:rsidR="002452BB" w:rsidRDefault="00000000">
            <w:pPr>
              <w:pStyle w:val="CellHeader"/>
              <w:jc w:val="center"/>
            </w:pPr>
            <w:r>
              <w:rPr>
                <w:rFonts w:cs="Times New Roman"/>
              </w:rPr>
              <w:t>Izvršenje 2025. (eur)</w:t>
            </w:r>
          </w:p>
        </w:tc>
        <w:tc>
          <w:tcPr>
            <w:tcW w:w="1224" w:type="dxa"/>
            <w:shd w:val="clear" w:color="auto" w:fill="B5C0D8"/>
          </w:tcPr>
          <w:p w14:paraId="01E99735" w14:textId="77777777" w:rsidR="002452BB" w:rsidRDefault="00000000">
            <w:pPr>
              <w:pStyle w:val="CellHeader"/>
              <w:jc w:val="center"/>
            </w:pPr>
            <w:r>
              <w:rPr>
                <w:rFonts w:cs="Times New Roman"/>
              </w:rPr>
              <w:t>Indeks izvršenje 2025./plan 2025.</w:t>
            </w:r>
          </w:p>
        </w:tc>
        <w:tc>
          <w:tcPr>
            <w:tcW w:w="1224" w:type="dxa"/>
            <w:shd w:val="clear" w:color="auto" w:fill="B5C0D8"/>
          </w:tcPr>
          <w:p w14:paraId="795A869F" w14:textId="77777777" w:rsidR="002452BB" w:rsidRDefault="00000000">
            <w:pPr>
              <w:pStyle w:val="CellHeader"/>
              <w:jc w:val="center"/>
            </w:pPr>
            <w:r>
              <w:rPr>
                <w:rFonts w:cs="Times New Roman"/>
              </w:rPr>
              <w:t>Indeks izvršenje 2025./2024.</w:t>
            </w:r>
          </w:p>
        </w:tc>
      </w:tr>
      <w:tr w:rsidR="002452BB" w14:paraId="739BD440" w14:textId="77777777">
        <w:trPr>
          <w:jc w:val="center"/>
        </w:trPr>
        <w:tc>
          <w:tcPr>
            <w:tcW w:w="1632" w:type="dxa"/>
          </w:tcPr>
          <w:p w14:paraId="03030AB9" w14:textId="77777777" w:rsidR="002452BB" w:rsidRDefault="00000000">
            <w:pPr>
              <w:pStyle w:val="CellColumn"/>
              <w:jc w:val="left"/>
            </w:pPr>
            <w:r>
              <w:rPr>
                <w:rFonts w:cs="Times New Roman"/>
              </w:rPr>
              <w:t>T754028-PROJEKT IZGRADNJE VANJSKIH VEZOVA NA GLAVNOM LUKOBRANU U GRADSKOJ LUCI SPLIT</w:t>
            </w:r>
          </w:p>
        </w:tc>
        <w:tc>
          <w:tcPr>
            <w:tcW w:w="2041" w:type="dxa"/>
          </w:tcPr>
          <w:p w14:paraId="26BEFD14" w14:textId="77777777" w:rsidR="002452BB" w:rsidRDefault="00000000">
            <w:pPr>
              <w:pStyle w:val="CellColumn"/>
              <w:jc w:val="right"/>
            </w:pPr>
            <w:r>
              <w:rPr>
                <w:rFonts w:cs="Times New Roman"/>
              </w:rPr>
              <w:t>2.458.289</w:t>
            </w:r>
          </w:p>
        </w:tc>
        <w:tc>
          <w:tcPr>
            <w:tcW w:w="2041" w:type="dxa"/>
          </w:tcPr>
          <w:p w14:paraId="07FF9FA5" w14:textId="77777777" w:rsidR="002452BB" w:rsidRDefault="00000000">
            <w:pPr>
              <w:pStyle w:val="CellColumn"/>
              <w:jc w:val="right"/>
            </w:pPr>
            <w:r>
              <w:rPr>
                <w:rFonts w:cs="Times New Roman"/>
              </w:rPr>
              <w:t>2.387.951</w:t>
            </w:r>
          </w:p>
        </w:tc>
        <w:tc>
          <w:tcPr>
            <w:tcW w:w="2041" w:type="dxa"/>
          </w:tcPr>
          <w:p w14:paraId="749C29F8" w14:textId="77777777" w:rsidR="002452BB" w:rsidRDefault="00000000">
            <w:pPr>
              <w:pStyle w:val="CellColumn"/>
              <w:jc w:val="right"/>
            </w:pPr>
            <w:r>
              <w:rPr>
                <w:rFonts w:cs="Times New Roman"/>
              </w:rPr>
              <w:t>2.288.555</w:t>
            </w:r>
          </w:p>
        </w:tc>
        <w:tc>
          <w:tcPr>
            <w:tcW w:w="1224" w:type="dxa"/>
          </w:tcPr>
          <w:p w14:paraId="260315AB" w14:textId="77777777" w:rsidR="002452BB" w:rsidRDefault="00000000">
            <w:pPr>
              <w:pStyle w:val="CellColumn"/>
              <w:jc w:val="right"/>
            </w:pPr>
            <w:r>
              <w:rPr>
                <w:rFonts w:cs="Times New Roman"/>
              </w:rPr>
              <w:t>95,8</w:t>
            </w:r>
          </w:p>
        </w:tc>
        <w:tc>
          <w:tcPr>
            <w:tcW w:w="1224" w:type="dxa"/>
          </w:tcPr>
          <w:p w14:paraId="5F62FD49" w14:textId="77777777" w:rsidR="002452BB" w:rsidRDefault="00000000">
            <w:pPr>
              <w:pStyle w:val="CellColumn"/>
              <w:jc w:val="right"/>
            </w:pPr>
            <w:r>
              <w:rPr>
                <w:rFonts w:cs="Times New Roman"/>
              </w:rPr>
              <w:t>93,1</w:t>
            </w:r>
          </w:p>
        </w:tc>
      </w:tr>
    </w:tbl>
    <w:p w14:paraId="3C2A8952" w14:textId="77777777" w:rsidR="002452BB" w:rsidRDefault="002452BB">
      <w:pPr>
        <w:jc w:val="left"/>
      </w:pPr>
    </w:p>
    <w:p w14:paraId="46E2E22F" w14:textId="77777777" w:rsidR="002452BB" w:rsidRDefault="00000000">
      <w:pPr>
        <w:pStyle w:val="Heading8"/>
        <w:jc w:val="left"/>
      </w:pPr>
      <w:r>
        <w:t>Zakonske i druge pravne osnove</w:t>
      </w:r>
    </w:p>
    <w:p w14:paraId="090C0549" w14:textId="77777777" w:rsidR="002452BB" w:rsidRDefault="00000000">
      <w:r>
        <w:t xml:space="preserve">- Zakon o pomorskom dobru i morskim lukama </w:t>
      </w:r>
    </w:p>
    <w:p w14:paraId="2D337DB0" w14:textId="77777777" w:rsidR="002452BB" w:rsidRDefault="00000000">
      <w:r>
        <w:t xml:space="preserve">- Zaključak Vlade RH od 06.12.2012.  </w:t>
      </w:r>
    </w:p>
    <w:p w14:paraId="2B699D4F" w14:textId="77777777" w:rsidR="002452BB" w:rsidRDefault="00000000">
      <w:r>
        <w:t>- Ugovor o zajmu zaključen sa Europskom bankom za obnovu i razvoj od 17. prosinca 2012. god. sa pripadajućim Dodatkom od 17. listopada 2014. godine, odobreni iznos zajma je 24.400.000,00 EUR-a u svrhu  financiranja  izvođenja radova od strane izvođača radova JV Pomgrad inženjering d.o.o./Viadukt d.d. te usluga nadzora od strane konzorcija društvo Technital S.p.A. u udruženju sa  Kozina projekti d.o.o., Interkonzalting d.o.o. i Geoprojekt d.o.o.</w:t>
      </w:r>
    </w:p>
    <w:p w14:paraId="0DC4A769" w14:textId="77777777" w:rsidR="002452BB" w:rsidRDefault="00000000">
      <w:pPr>
        <w:pStyle w:val="Heading8"/>
        <w:jc w:val="left"/>
      </w:pPr>
      <w:r>
        <w:t>Opis aktivnosti</w:t>
      </w:r>
    </w:p>
    <w:p w14:paraId="4C57141A" w14:textId="77777777" w:rsidR="002452BB" w:rsidRDefault="00000000">
      <w:r>
        <w:t xml:space="preserve">Provedba ovog projekta započela je 2014. godine.  </w:t>
      </w:r>
    </w:p>
    <w:p w14:paraId="43AB02AF" w14:textId="77777777" w:rsidR="002452BB" w:rsidRDefault="00000000">
      <w:r>
        <w:t xml:space="preserve">Projekt izgradnje vanjskih vezova na Glavnom lukobranu u Gradskoj luci Split se izvodio u dvije faze, s tim da je prva faza (vez br.1) završena u lipnju 2016. godine, a dana 29.06.2016.godine  je dobivena i uporabna dozvola za I fazu. Druga faza ( vez br.2) je završena u veljači 2017. godine, a uporabna dozvola je dobivena 29.03.2017. godine.  </w:t>
      </w:r>
    </w:p>
    <w:p w14:paraId="1292DA3B" w14:textId="08CE466D" w:rsidR="002452BB" w:rsidRDefault="00000000">
      <w:r>
        <w:t xml:space="preserve">Lučka uprava Split je iz vlastitih sredstava financirala troškove PDV-a, izrade projektne dokumentacije, koordinatora nadzora, zaštite na radu i  ostale popratne troškove. Ukupna vrijednost investicije je iznosila 30 milijuna </w:t>
      </w:r>
      <w:r w:rsidR="00CA0154">
        <w:t>€</w:t>
      </w:r>
      <w:r>
        <w:t xml:space="preserve">.  </w:t>
      </w:r>
    </w:p>
    <w:p w14:paraId="26CAB711" w14:textId="38B12793" w:rsidR="002452BB" w:rsidRDefault="00000000">
      <w:r>
        <w:lastRenderedPageBreak/>
        <w:t xml:space="preserve">Otplata zajma je započela u ožujku 2017. godine, plaćeno je ukupno 14.147.752,12 </w:t>
      </w:r>
      <w:r w:rsidR="00CA0154">
        <w:t>€</w:t>
      </w:r>
      <w:r>
        <w:t xml:space="preserve">, a saldo neotplaćene glavnice zajma na dan 10.09.2024. iznosi 7.097.748,47 </w:t>
      </w:r>
      <w:r w:rsidR="00CA0154">
        <w:t>€</w:t>
      </w:r>
      <w:r>
        <w:t>. Otplata glavnice zajma se financira 70%  iz Državnog proračuna, dok ostatak odnosno 30% glavnice zajma te ukupne kamate i ostale troškove podmiruje Lučka uprava Split iz ostalih namjenskih sredstava. Polugodišnji obrok iznosi 1.013.965,05</w:t>
      </w:r>
      <w:r w:rsidR="00CA0154">
        <w:t>€</w:t>
      </w:r>
      <w:r>
        <w:t>, a dospijeva u ožujku i rujnu svake godine. Krajnji rok otplate zajma je 10.03.2028. godine.</w:t>
      </w:r>
    </w:p>
    <w:p w14:paraId="49DDD267" w14:textId="77777777" w:rsidR="002452BB"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2452BB" w14:paraId="40175D2E" w14:textId="77777777">
        <w:trPr>
          <w:jc w:val="center"/>
        </w:trPr>
        <w:tc>
          <w:tcPr>
            <w:tcW w:w="2551" w:type="dxa"/>
            <w:shd w:val="clear" w:color="auto" w:fill="B5C0D8"/>
          </w:tcPr>
          <w:p w14:paraId="5DDDA158" w14:textId="77777777" w:rsidR="002452BB" w:rsidRDefault="00000000">
            <w:pPr>
              <w:jc w:val="center"/>
            </w:pPr>
            <w:r>
              <w:t>Pokazatelj rezultata</w:t>
            </w:r>
          </w:p>
        </w:tc>
        <w:tc>
          <w:tcPr>
            <w:tcW w:w="2551" w:type="dxa"/>
            <w:shd w:val="clear" w:color="auto" w:fill="B5C0D8"/>
          </w:tcPr>
          <w:p w14:paraId="1A838456" w14:textId="77777777" w:rsidR="002452BB" w:rsidRDefault="00000000">
            <w:pPr>
              <w:pStyle w:val="CellHeader"/>
              <w:jc w:val="center"/>
            </w:pPr>
            <w:r>
              <w:rPr>
                <w:rFonts w:cs="Times New Roman"/>
              </w:rPr>
              <w:t>Definicija</w:t>
            </w:r>
          </w:p>
        </w:tc>
        <w:tc>
          <w:tcPr>
            <w:tcW w:w="1020" w:type="dxa"/>
            <w:shd w:val="clear" w:color="auto" w:fill="B5C0D8"/>
          </w:tcPr>
          <w:p w14:paraId="4278A924" w14:textId="77777777" w:rsidR="002452BB" w:rsidRDefault="00000000">
            <w:pPr>
              <w:pStyle w:val="CellHeader"/>
              <w:jc w:val="center"/>
            </w:pPr>
            <w:r>
              <w:rPr>
                <w:rFonts w:cs="Times New Roman"/>
              </w:rPr>
              <w:t>Jedinica</w:t>
            </w:r>
          </w:p>
        </w:tc>
        <w:tc>
          <w:tcPr>
            <w:tcW w:w="1020" w:type="dxa"/>
            <w:shd w:val="clear" w:color="auto" w:fill="B5C0D8"/>
          </w:tcPr>
          <w:p w14:paraId="29FD9203" w14:textId="77777777" w:rsidR="002452BB" w:rsidRDefault="00000000">
            <w:pPr>
              <w:pStyle w:val="CellHeader"/>
              <w:jc w:val="center"/>
            </w:pPr>
            <w:r>
              <w:rPr>
                <w:rFonts w:cs="Times New Roman"/>
              </w:rPr>
              <w:t>Polazna vrijednost</w:t>
            </w:r>
          </w:p>
        </w:tc>
        <w:tc>
          <w:tcPr>
            <w:tcW w:w="1020" w:type="dxa"/>
            <w:shd w:val="clear" w:color="auto" w:fill="B5C0D8"/>
          </w:tcPr>
          <w:p w14:paraId="7FD73EF3" w14:textId="77777777" w:rsidR="002452BB" w:rsidRDefault="00000000">
            <w:pPr>
              <w:pStyle w:val="CellHeader"/>
              <w:jc w:val="center"/>
            </w:pPr>
            <w:r>
              <w:rPr>
                <w:rFonts w:cs="Times New Roman"/>
              </w:rPr>
              <w:t>Izvor podataka</w:t>
            </w:r>
          </w:p>
        </w:tc>
        <w:tc>
          <w:tcPr>
            <w:tcW w:w="1020" w:type="dxa"/>
            <w:shd w:val="clear" w:color="auto" w:fill="B5C0D8"/>
          </w:tcPr>
          <w:p w14:paraId="7F96E383" w14:textId="77777777" w:rsidR="002452BB" w:rsidRDefault="00000000">
            <w:pPr>
              <w:pStyle w:val="CellHeader"/>
              <w:jc w:val="center"/>
            </w:pPr>
            <w:r>
              <w:rPr>
                <w:rFonts w:cs="Times New Roman"/>
              </w:rPr>
              <w:t>Ciljana vrijednost (2025.)</w:t>
            </w:r>
          </w:p>
        </w:tc>
        <w:tc>
          <w:tcPr>
            <w:tcW w:w="1020" w:type="dxa"/>
            <w:shd w:val="clear" w:color="auto" w:fill="B5C0D8"/>
          </w:tcPr>
          <w:p w14:paraId="5AA326E1" w14:textId="77777777" w:rsidR="002452BB" w:rsidRDefault="00000000">
            <w:pPr>
              <w:pStyle w:val="CellHeader"/>
              <w:jc w:val="center"/>
            </w:pPr>
            <w:r>
              <w:rPr>
                <w:rFonts w:cs="Times New Roman"/>
              </w:rPr>
              <w:t>Ostvarena vrijednost (2025.)</w:t>
            </w:r>
          </w:p>
        </w:tc>
      </w:tr>
      <w:tr w:rsidR="002452BB" w14:paraId="103A06FA" w14:textId="77777777">
        <w:trPr>
          <w:jc w:val="center"/>
        </w:trPr>
        <w:tc>
          <w:tcPr>
            <w:tcW w:w="2551" w:type="dxa"/>
          </w:tcPr>
          <w:p w14:paraId="5B5E8693" w14:textId="77777777" w:rsidR="002452BB" w:rsidRDefault="00000000">
            <w:pPr>
              <w:pStyle w:val="CellColumn"/>
              <w:jc w:val="left"/>
            </w:pPr>
            <w:r>
              <w:rPr>
                <w:rFonts w:cs="Times New Roman"/>
              </w:rPr>
              <w:t>Podmirivanje svih obveza po zajmu u rokovima dospijeća</w:t>
            </w:r>
          </w:p>
        </w:tc>
        <w:tc>
          <w:tcPr>
            <w:tcW w:w="2551" w:type="dxa"/>
          </w:tcPr>
          <w:p w14:paraId="545D9F93" w14:textId="77777777" w:rsidR="002452BB" w:rsidRDefault="00000000">
            <w:pPr>
              <w:pStyle w:val="CellColumn"/>
              <w:jc w:val="left"/>
            </w:pPr>
            <w:r>
              <w:rPr>
                <w:rFonts w:cs="Times New Roman"/>
              </w:rPr>
              <w:t>Podmirivanje svih obveza po zajmu, kojim je  realizirana izgradnja vanjskih vezova sukladno ugovoru o zajmu</w:t>
            </w:r>
          </w:p>
        </w:tc>
        <w:tc>
          <w:tcPr>
            <w:tcW w:w="1020" w:type="dxa"/>
          </w:tcPr>
          <w:p w14:paraId="26BFB301" w14:textId="77777777" w:rsidR="002452BB" w:rsidRDefault="00000000">
            <w:pPr>
              <w:pStyle w:val="CellColumn"/>
              <w:jc w:val="right"/>
            </w:pPr>
            <w:r>
              <w:rPr>
                <w:rFonts w:cs="Times New Roman"/>
              </w:rPr>
              <w:t>%</w:t>
            </w:r>
          </w:p>
        </w:tc>
        <w:tc>
          <w:tcPr>
            <w:tcW w:w="1020" w:type="dxa"/>
          </w:tcPr>
          <w:p w14:paraId="2342F6B8" w14:textId="77777777" w:rsidR="002452BB" w:rsidRDefault="00000000">
            <w:pPr>
              <w:pStyle w:val="CellColumn"/>
              <w:jc w:val="right"/>
            </w:pPr>
            <w:r>
              <w:rPr>
                <w:rFonts w:cs="Times New Roman"/>
              </w:rPr>
              <w:t>0</w:t>
            </w:r>
          </w:p>
        </w:tc>
        <w:tc>
          <w:tcPr>
            <w:tcW w:w="1020" w:type="dxa"/>
          </w:tcPr>
          <w:p w14:paraId="5AFFC403" w14:textId="77777777" w:rsidR="002452BB" w:rsidRDefault="00000000">
            <w:pPr>
              <w:pStyle w:val="CellColumn"/>
              <w:jc w:val="right"/>
            </w:pPr>
            <w:r>
              <w:rPr>
                <w:rFonts w:cs="Times New Roman"/>
              </w:rPr>
              <w:t>Lučka uprava Split</w:t>
            </w:r>
          </w:p>
        </w:tc>
        <w:tc>
          <w:tcPr>
            <w:tcW w:w="1020" w:type="dxa"/>
          </w:tcPr>
          <w:p w14:paraId="210F98C2" w14:textId="77777777" w:rsidR="002452BB" w:rsidRDefault="00000000">
            <w:pPr>
              <w:pStyle w:val="CellColumn"/>
              <w:jc w:val="right"/>
            </w:pPr>
            <w:r>
              <w:rPr>
                <w:rFonts w:cs="Times New Roman"/>
              </w:rPr>
              <w:t>100</w:t>
            </w:r>
          </w:p>
        </w:tc>
        <w:tc>
          <w:tcPr>
            <w:tcW w:w="1020" w:type="dxa"/>
          </w:tcPr>
          <w:p w14:paraId="6E641301" w14:textId="77777777" w:rsidR="002452BB" w:rsidRDefault="00000000">
            <w:pPr>
              <w:pStyle w:val="CellColumn"/>
              <w:jc w:val="right"/>
            </w:pPr>
            <w:r>
              <w:rPr>
                <w:rFonts w:cs="Times New Roman"/>
              </w:rPr>
              <w:t>100</w:t>
            </w:r>
          </w:p>
        </w:tc>
      </w:tr>
    </w:tbl>
    <w:p w14:paraId="1D2A50CE" w14:textId="77777777" w:rsidR="002452BB" w:rsidRDefault="002452BB">
      <w:pPr>
        <w:jc w:val="left"/>
      </w:pPr>
    </w:p>
    <w:sectPr w:rsidR="002452BB"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5E34" w14:textId="77777777" w:rsidR="00AF64E7" w:rsidRDefault="00AF64E7" w:rsidP="00F352E6">
      <w:r>
        <w:separator/>
      </w:r>
    </w:p>
  </w:endnote>
  <w:endnote w:type="continuationSeparator" w:id="0">
    <w:p w14:paraId="6943A677" w14:textId="77777777" w:rsidR="00AF64E7" w:rsidRDefault="00AF64E7"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9F69" w14:textId="77777777" w:rsidR="004B2328" w:rsidRPr="00D769ED" w:rsidRDefault="004B2328"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70FF" w14:textId="77777777" w:rsidR="00AF64E7" w:rsidRDefault="00AF64E7" w:rsidP="00F352E6">
      <w:r>
        <w:separator/>
      </w:r>
    </w:p>
  </w:footnote>
  <w:footnote w:type="continuationSeparator" w:id="0">
    <w:p w14:paraId="63D5CFA5" w14:textId="77777777" w:rsidR="00AF64E7" w:rsidRDefault="00AF64E7"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2EB9" w14:textId="77777777" w:rsidR="004B2328" w:rsidRDefault="004B2328"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25ADB"/>
    <w:rsid w:val="000352D6"/>
    <w:rsid w:val="00041164"/>
    <w:rsid w:val="00053EAE"/>
    <w:rsid w:val="0005614A"/>
    <w:rsid w:val="00076065"/>
    <w:rsid w:val="0008394F"/>
    <w:rsid w:val="000C0A6C"/>
    <w:rsid w:val="0010779D"/>
    <w:rsid w:val="0013155A"/>
    <w:rsid w:val="0017490A"/>
    <w:rsid w:val="001E5246"/>
    <w:rsid w:val="002452BB"/>
    <w:rsid w:val="0027042C"/>
    <w:rsid w:val="002E31C8"/>
    <w:rsid w:val="00311AA1"/>
    <w:rsid w:val="00382225"/>
    <w:rsid w:val="00386953"/>
    <w:rsid w:val="00463609"/>
    <w:rsid w:val="00480C76"/>
    <w:rsid w:val="004B2328"/>
    <w:rsid w:val="004C01B5"/>
    <w:rsid w:val="0052289C"/>
    <w:rsid w:val="00524A66"/>
    <w:rsid w:val="00526A7C"/>
    <w:rsid w:val="005A70C0"/>
    <w:rsid w:val="005B6ED7"/>
    <w:rsid w:val="005E2D85"/>
    <w:rsid w:val="00633683"/>
    <w:rsid w:val="0066771B"/>
    <w:rsid w:val="00674346"/>
    <w:rsid w:val="006B3283"/>
    <w:rsid w:val="00712E83"/>
    <w:rsid w:val="007665AA"/>
    <w:rsid w:val="007A7E45"/>
    <w:rsid w:val="007D1C46"/>
    <w:rsid w:val="007D395B"/>
    <w:rsid w:val="007D4430"/>
    <w:rsid w:val="00847495"/>
    <w:rsid w:val="008636E2"/>
    <w:rsid w:val="008A7E2A"/>
    <w:rsid w:val="008C3D47"/>
    <w:rsid w:val="00934715"/>
    <w:rsid w:val="009359F2"/>
    <w:rsid w:val="0094382E"/>
    <w:rsid w:val="00951B1A"/>
    <w:rsid w:val="0099159A"/>
    <w:rsid w:val="009E33D3"/>
    <w:rsid w:val="00A021A2"/>
    <w:rsid w:val="00A320E5"/>
    <w:rsid w:val="00A70582"/>
    <w:rsid w:val="00AB289A"/>
    <w:rsid w:val="00AB5FEA"/>
    <w:rsid w:val="00AB7B4E"/>
    <w:rsid w:val="00AF64E7"/>
    <w:rsid w:val="00B15946"/>
    <w:rsid w:val="00B2737F"/>
    <w:rsid w:val="00B31E2E"/>
    <w:rsid w:val="00B33745"/>
    <w:rsid w:val="00B41BF8"/>
    <w:rsid w:val="00B661A2"/>
    <w:rsid w:val="00BA2388"/>
    <w:rsid w:val="00BA487B"/>
    <w:rsid w:val="00BA7BD1"/>
    <w:rsid w:val="00BB237C"/>
    <w:rsid w:val="00BB642B"/>
    <w:rsid w:val="00BF02E9"/>
    <w:rsid w:val="00BF3F24"/>
    <w:rsid w:val="00C07EFD"/>
    <w:rsid w:val="00C7470A"/>
    <w:rsid w:val="00CA0154"/>
    <w:rsid w:val="00CF1882"/>
    <w:rsid w:val="00D95BC1"/>
    <w:rsid w:val="00DE2416"/>
    <w:rsid w:val="00E42E87"/>
    <w:rsid w:val="00E454D2"/>
    <w:rsid w:val="00E50653"/>
    <w:rsid w:val="00E62EF0"/>
    <w:rsid w:val="00ED0E3A"/>
    <w:rsid w:val="00F352E6"/>
    <w:rsid w:val="00F67315"/>
    <w:rsid w:val="00F91724"/>
    <w:rsid w:val="00F92AEE"/>
    <w:rsid w:val="00F95715"/>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B67F"/>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Antisic</cp:lastModifiedBy>
  <cp:revision>2</cp:revision>
  <dcterms:created xsi:type="dcterms:W3CDTF">2026-04-10T09:30:00Z</dcterms:created>
  <dcterms:modified xsi:type="dcterms:W3CDTF">2026-04-10T09:30:00Z</dcterms:modified>
</cp:coreProperties>
</file>